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53E8D" w:rsidRPr="00153E8D" w:rsidRDefault="00153E8D" w:rsidP="00153E8D">
      <w:pPr>
        <w:pStyle w:val="Sinespaciado1"/>
        <w:rPr>
          <w:b/>
          <w:sz w:val="24"/>
          <w:szCs w:val="24"/>
          <w:lang w:val="pt-BR"/>
        </w:rPr>
      </w:pPr>
      <w:r w:rsidRPr="00153E8D">
        <w:rPr>
          <w:b/>
          <w:sz w:val="24"/>
          <w:szCs w:val="24"/>
          <w:lang w:val="pt-BR"/>
        </w:rPr>
        <w:t>Planos Nacionais de Ação de Direitos Humanos: ingredientes para o sucesso</w:t>
      </w:r>
    </w:p>
    <w:p w:rsidR="00153E8D" w:rsidRPr="00153E8D" w:rsidRDefault="00153E8D" w:rsidP="00153E8D">
      <w:pPr>
        <w:pStyle w:val="Sinespaciado1"/>
        <w:rPr>
          <w:i/>
          <w:sz w:val="24"/>
          <w:szCs w:val="24"/>
        </w:rPr>
      </w:pPr>
    </w:p>
    <w:p w:rsidR="00153E8D" w:rsidRPr="00153E8D" w:rsidRDefault="00153E8D" w:rsidP="00153E8D">
      <w:pPr>
        <w:pStyle w:val="Sinespaciado1"/>
        <w:rPr>
          <w:i/>
          <w:sz w:val="24"/>
          <w:szCs w:val="24"/>
          <w:lang w:val="pt-BR"/>
        </w:rPr>
      </w:pPr>
      <w:r w:rsidRPr="00153E8D">
        <w:rPr>
          <w:i/>
          <w:sz w:val="24"/>
          <w:szCs w:val="24"/>
          <w:lang w:val="pt-BR"/>
        </w:rPr>
        <w:t>“A Conferência Mundial de Direitos Humanos recomenda que cada Estado pondere a conveniência de elaborar um plano nacional de ação que identifique os passos por meio dos quais esse Estado poderia melhorar a promoção e a proteção dos direitos humanos”</w:t>
      </w:r>
    </w:p>
    <w:p w:rsidR="00153E8D" w:rsidRPr="00153E8D" w:rsidRDefault="00153E8D" w:rsidP="00153E8D">
      <w:pPr>
        <w:pStyle w:val="Sinespaciado1"/>
        <w:rPr>
          <w:sz w:val="24"/>
          <w:szCs w:val="24"/>
          <w:lang w:val="pt-BR"/>
        </w:rPr>
      </w:pPr>
    </w:p>
    <w:p w:rsidR="00153E8D" w:rsidRPr="00153E8D" w:rsidRDefault="00153E8D" w:rsidP="00153E8D">
      <w:pPr>
        <w:pStyle w:val="Sinespaciado1"/>
        <w:jc w:val="right"/>
        <w:rPr>
          <w:sz w:val="24"/>
          <w:szCs w:val="24"/>
          <w:lang w:val="pt-BR"/>
        </w:rPr>
      </w:pPr>
      <w:r w:rsidRPr="00153E8D">
        <w:rPr>
          <w:sz w:val="24"/>
          <w:szCs w:val="24"/>
          <w:lang w:val="pt-BR"/>
        </w:rPr>
        <w:t xml:space="preserve">Declaração e Programa de Ação de Viena, 1993. </w:t>
      </w:r>
    </w:p>
    <w:p w:rsidR="00153E8D" w:rsidRPr="00153E8D" w:rsidRDefault="00153E8D" w:rsidP="00153E8D">
      <w:pPr>
        <w:pStyle w:val="Sinespaciado1"/>
        <w:jc w:val="right"/>
        <w:rPr>
          <w:sz w:val="24"/>
          <w:szCs w:val="24"/>
          <w:lang w:val="pt-BR"/>
        </w:rPr>
      </w:pPr>
      <w:r w:rsidRPr="00153E8D">
        <w:rPr>
          <w:sz w:val="24"/>
          <w:szCs w:val="24"/>
          <w:lang w:val="pt-BR"/>
        </w:rPr>
        <w:t xml:space="preserve">Parágrafo 71, parte II. </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p>
    <w:p w:rsidR="00153E8D" w:rsidRPr="00153E8D" w:rsidRDefault="00153E8D" w:rsidP="00153E8D">
      <w:pPr>
        <w:pStyle w:val="Sinespaciado1"/>
        <w:rPr>
          <w:b/>
          <w:sz w:val="24"/>
          <w:szCs w:val="24"/>
          <w:lang w:val="pt-BR"/>
        </w:rPr>
      </w:pPr>
      <w:r w:rsidRPr="00153E8D">
        <w:rPr>
          <w:b/>
          <w:sz w:val="24"/>
          <w:szCs w:val="24"/>
          <w:lang w:val="pt-BR"/>
        </w:rPr>
        <w:t>O que são os planos nacionais de ação de direitos humanos?</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Muitos países procuram melhorar as suas capacidades para proteger e promover os direitos humanos no nível nacional. Porém, muitas vezes não contam com um roteiro para fazê-lo de maneira abrangente, coerente e coordenada. Um Plano Nacional de Ação em Direitos Humanos (PNADH) fornece uma estrutura para fortalecer os direitos humanos.</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Um PNADH é um documento compreensivo que estabelece a execução de uma série de medidas que devem ser adotadas em um marco temporal específico, visando melhorar a promoção e proteção dos direitos humanos no país.</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Ao desenvolver e instalar um PNADH, um país faz uma declaração explícita à sociedade e à comunidade internacional sobre a sua agenda de direitos humanos. </w:t>
      </w:r>
    </w:p>
    <w:p w:rsidR="00153E8D" w:rsidRPr="00153E8D" w:rsidRDefault="00153E8D" w:rsidP="00153E8D">
      <w:pPr>
        <w:pStyle w:val="Sinespaciado1"/>
        <w:rPr>
          <w:b/>
          <w:sz w:val="24"/>
          <w:szCs w:val="24"/>
          <w:lang w:val="pt-BR"/>
        </w:rPr>
      </w:pPr>
    </w:p>
    <w:p w:rsidR="00153E8D" w:rsidRPr="00153E8D" w:rsidRDefault="00153E8D" w:rsidP="00153E8D">
      <w:pPr>
        <w:pStyle w:val="Sinespaciado1"/>
        <w:rPr>
          <w:b/>
          <w:sz w:val="24"/>
          <w:szCs w:val="24"/>
          <w:lang w:val="pt-BR"/>
        </w:rPr>
      </w:pPr>
      <w:r w:rsidRPr="00153E8D">
        <w:rPr>
          <w:b/>
          <w:sz w:val="24"/>
          <w:szCs w:val="24"/>
          <w:lang w:val="pt-BR"/>
        </w:rPr>
        <w:t>Os PNADH servem para:</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revisar as necessidades de um país em relação aos direitos humanos;</w:t>
      </w:r>
    </w:p>
    <w:p w:rsidR="00153E8D" w:rsidRPr="00153E8D" w:rsidRDefault="00153E8D" w:rsidP="00153E8D">
      <w:pPr>
        <w:pStyle w:val="Sinespaciado1"/>
        <w:rPr>
          <w:sz w:val="24"/>
          <w:szCs w:val="24"/>
          <w:lang w:val="pt-BR"/>
        </w:rPr>
      </w:pPr>
      <w:r w:rsidRPr="00153E8D">
        <w:rPr>
          <w:sz w:val="24"/>
          <w:szCs w:val="24"/>
          <w:lang w:val="pt-BR"/>
        </w:rPr>
        <w:t>● fornecer um roteiro visando à realização dos direitos humanos;</w:t>
      </w:r>
    </w:p>
    <w:p w:rsidR="00153E8D" w:rsidRPr="00153E8D" w:rsidRDefault="00153E8D" w:rsidP="00153E8D">
      <w:pPr>
        <w:pStyle w:val="Sinespaciado1"/>
        <w:rPr>
          <w:sz w:val="24"/>
          <w:szCs w:val="24"/>
          <w:lang w:val="pt-BR"/>
        </w:rPr>
      </w:pPr>
      <w:r w:rsidRPr="00153E8D">
        <w:rPr>
          <w:sz w:val="24"/>
          <w:szCs w:val="24"/>
          <w:lang w:val="pt-BR"/>
        </w:rPr>
        <w:t xml:space="preserve">● iniciar programas e uma resposta coordenada; </w:t>
      </w:r>
    </w:p>
    <w:p w:rsidR="00153E8D" w:rsidRPr="00153E8D" w:rsidRDefault="00153E8D" w:rsidP="00153E8D">
      <w:pPr>
        <w:pStyle w:val="Sinespaciado1"/>
        <w:rPr>
          <w:sz w:val="24"/>
          <w:szCs w:val="24"/>
          <w:lang w:val="pt-BR"/>
        </w:rPr>
      </w:pPr>
      <w:r w:rsidRPr="00153E8D">
        <w:rPr>
          <w:sz w:val="24"/>
          <w:szCs w:val="24"/>
          <w:lang w:val="pt-BR"/>
        </w:rPr>
        <w:t>● vincular direitos humanos à planificação para o desenvolvimento;</w:t>
      </w:r>
    </w:p>
    <w:p w:rsidR="00153E8D" w:rsidRPr="00153E8D" w:rsidRDefault="00153E8D" w:rsidP="00153E8D">
      <w:pPr>
        <w:pStyle w:val="Sinespaciado1"/>
        <w:rPr>
          <w:sz w:val="24"/>
          <w:szCs w:val="24"/>
          <w:lang w:val="pt-BR"/>
        </w:rPr>
      </w:pPr>
      <w:r w:rsidRPr="00153E8D">
        <w:rPr>
          <w:sz w:val="24"/>
          <w:szCs w:val="24"/>
          <w:lang w:val="pt-BR"/>
        </w:rPr>
        <w:t xml:space="preserve">● facilitar a cooperação com os atores interessados; </w:t>
      </w:r>
    </w:p>
    <w:p w:rsidR="00153E8D" w:rsidRPr="00153E8D" w:rsidRDefault="00153E8D" w:rsidP="00153E8D">
      <w:pPr>
        <w:pStyle w:val="Sinespaciado1"/>
        <w:rPr>
          <w:sz w:val="24"/>
          <w:szCs w:val="24"/>
          <w:lang w:val="pt-BR"/>
        </w:rPr>
      </w:pPr>
      <w:r w:rsidRPr="00153E8D">
        <w:rPr>
          <w:sz w:val="24"/>
          <w:szCs w:val="24"/>
          <w:lang w:val="pt-BR"/>
        </w:rPr>
        <w:t>● sensibilizar os diversos atores sociais sobre assuntos de direitos humanos;</w:t>
      </w:r>
    </w:p>
    <w:p w:rsidR="00153E8D" w:rsidRPr="00153E8D" w:rsidRDefault="00153E8D" w:rsidP="00153E8D">
      <w:pPr>
        <w:pStyle w:val="Sinespaciado1"/>
        <w:rPr>
          <w:sz w:val="24"/>
          <w:szCs w:val="24"/>
          <w:lang w:val="pt-BR"/>
        </w:rPr>
      </w:pPr>
      <w:r w:rsidRPr="00153E8D">
        <w:rPr>
          <w:sz w:val="24"/>
          <w:szCs w:val="24"/>
          <w:lang w:val="pt-BR"/>
        </w:rPr>
        <w:t>● ajudar os governos a cumprir os seus compromissos sobre direitos humanos à luz dos tratados internacionais, regionais e as leis nacionais.</w:t>
      </w:r>
    </w:p>
    <w:p w:rsidR="00153E8D" w:rsidRPr="00153E8D" w:rsidRDefault="00153E8D" w:rsidP="00153E8D">
      <w:pPr>
        <w:pStyle w:val="Sinespaciado1"/>
        <w:rPr>
          <w:sz w:val="24"/>
          <w:szCs w:val="24"/>
          <w:lang w:val="pt-BR"/>
        </w:rPr>
      </w:pPr>
    </w:p>
    <w:p w:rsidR="00153E8D" w:rsidRPr="00153E8D" w:rsidRDefault="00153E8D" w:rsidP="00153E8D">
      <w:pPr>
        <w:pStyle w:val="Sinespaciado1"/>
        <w:rPr>
          <w:b/>
          <w:sz w:val="24"/>
          <w:szCs w:val="24"/>
          <w:lang w:val="pt-BR"/>
        </w:rPr>
      </w:pPr>
      <w:r w:rsidRPr="00153E8D">
        <w:rPr>
          <w:b/>
          <w:sz w:val="24"/>
          <w:szCs w:val="24"/>
          <w:lang w:val="pt-BR"/>
        </w:rPr>
        <w:t>Quem deve participar?</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Um PNADH deve ser entendido como um objetivo nacional. Mas, como o plano envolve compromissos por si contraídos, o governo tem uma especial responsabilidade no seu desenvolvimento. </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Sem importar desde qual setor da sociedade surgiu o projeto de elaborar um PNADH, é preciso identificar um órgão específico do governo como encarregado de iniciar o processo e convocar os atores interessados.</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Conforme o plano projetado e os recursos disponíveis, o processo deveria incluir a participação de todos os níveis do Estado, entidades público-privadas, instituições nacionais de direitos humanos e organizações não governamentais. </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Também devem ser convocados representantes de grupos vulneráveis, sindicatos e grupos profissionais, especialistas em direitos humanos, acadêmicos e investigadores, a mídia, o setor privado e a sociedade em conjunto. Além disso, pode ser útil envolver representantes de organizações internacionais que forneçam assessoramento técnico no assunto.  </w:t>
      </w:r>
    </w:p>
    <w:p w:rsidR="00153E8D" w:rsidRPr="00153E8D" w:rsidRDefault="00153E8D" w:rsidP="00153E8D">
      <w:pPr>
        <w:pStyle w:val="Sinespaciado1"/>
        <w:rPr>
          <w:sz w:val="24"/>
          <w:szCs w:val="24"/>
          <w:lang w:val="pt-BR"/>
        </w:rPr>
      </w:pPr>
    </w:p>
    <w:p w:rsidR="00153E8D" w:rsidRPr="00153E8D" w:rsidRDefault="00153E8D" w:rsidP="00153E8D">
      <w:pPr>
        <w:pStyle w:val="Sinespaciado1"/>
        <w:rPr>
          <w:b/>
          <w:sz w:val="24"/>
          <w:szCs w:val="24"/>
          <w:lang w:val="pt-BR"/>
        </w:rPr>
      </w:pPr>
      <w:r w:rsidRPr="00153E8D">
        <w:rPr>
          <w:b/>
          <w:sz w:val="24"/>
          <w:szCs w:val="24"/>
          <w:lang w:val="pt-BR"/>
        </w:rPr>
        <w:lastRenderedPageBreak/>
        <w:t>Como configurar um PNADH?</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Os passos a seguir na formação de um PNADH incluem pelo menos cinco etapas:</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 uma fase de preparação, onde os atores relevantes fazem consultas iniciais e o diagnóstico dos principais desafios em direitos humanos para o país. Além disso, são identificadas estratégias de ação e as necessidades de funcionamento do PNADH, principalmente em termos de recursos financeiros e humanos. </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xml:space="preserve">Durante esta etapa, os participantes podem formar um comitê coordenador, encarregado de organizar os esforços das diferentes áreas participantes do processo. Esse comitê deveria estar composto por funcionários dos três poderes do Estado e organizações da sociedade civil, considerando um equilíbrio de gênero e de grupos étnicos, religiosos, regionais e outros. </w:t>
      </w:r>
    </w:p>
    <w:p w:rsidR="00153E8D" w:rsidRPr="00153E8D" w:rsidRDefault="00153E8D" w:rsidP="00153E8D">
      <w:pPr>
        <w:pStyle w:val="Sinespaciado1"/>
        <w:rPr>
          <w:sz w:val="24"/>
          <w:szCs w:val="24"/>
          <w:lang w:val="pt-BR"/>
        </w:rPr>
      </w:pPr>
    </w:p>
    <w:p w:rsidR="00153E8D" w:rsidRPr="00153E8D" w:rsidRDefault="00153E8D" w:rsidP="00153E8D">
      <w:pPr>
        <w:pStyle w:val="Sinespaciado1"/>
        <w:rPr>
          <w:sz w:val="24"/>
          <w:szCs w:val="24"/>
          <w:lang w:val="pt-BR"/>
        </w:rPr>
      </w:pPr>
      <w:r w:rsidRPr="00153E8D">
        <w:rPr>
          <w:sz w:val="24"/>
          <w:szCs w:val="24"/>
          <w:lang w:val="pt-BR"/>
        </w:rPr>
        <w:t>• Uma fase de desenvolvimento para que os atores envolvidos possam elaborar um rascunho do PNADH, discutir e adotar um plano de trabalho, além de criar uma estratégia de comunicações para divulgar as suas atividades e o próprio PNADH;</w:t>
      </w:r>
    </w:p>
    <w:p w:rsidR="00153E8D" w:rsidRPr="00153E8D" w:rsidRDefault="00153E8D" w:rsidP="00153E8D">
      <w:pPr>
        <w:pStyle w:val="Sinespaciado1"/>
        <w:rPr>
          <w:sz w:val="24"/>
          <w:szCs w:val="24"/>
          <w:lang w:val="pt-BR"/>
        </w:rPr>
      </w:pPr>
    </w:p>
    <w:p w:rsidR="00014D2A" w:rsidRPr="00153E8D" w:rsidRDefault="00014D2A" w:rsidP="00153E8D">
      <w:pPr>
        <w:pStyle w:val="Sinespaciado1"/>
        <w:rPr>
          <w:sz w:val="24"/>
          <w:szCs w:val="24"/>
          <w:lang w:val="pt-BR"/>
        </w:rPr>
      </w:pPr>
      <w:r w:rsidRPr="00153E8D">
        <w:rPr>
          <w:sz w:val="24"/>
          <w:szCs w:val="24"/>
          <w:lang w:val="pt-BR"/>
        </w:rPr>
        <w:t>• Uma fase de instalação, onde os órgãos relevantes põem em funcionamento o plano.</w:t>
      </w:r>
    </w:p>
    <w:p w:rsidR="00014D2A" w:rsidRPr="00153E8D" w:rsidRDefault="00014D2A" w:rsidP="00153E8D">
      <w:pPr>
        <w:pStyle w:val="Sinespaciado1"/>
        <w:rPr>
          <w:sz w:val="24"/>
          <w:szCs w:val="24"/>
          <w:lang w:val="pt-BR"/>
        </w:rPr>
      </w:pPr>
      <w:r w:rsidRPr="00153E8D">
        <w:rPr>
          <w:sz w:val="24"/>
          <w:szCs w:val="24"/>
          <w:lang w:val="pt-BR"/>
        </w:rPr>
        <w:t>• Uma etapa de monitoramento ou controle para supervisionar a execução das atividades planejadas e um processo de ajuste dos objetivos do plano.</w:t>
      </w:r>
    </w:p>
    <w:p w:rsidR="00014D2A" w:rsidRPr="00153E8D" w:rsidRDefault="00014D2A" w:rsidP="00153E8D">
      <w:pPr>
        <w:pStyle w:val="Sinespaciado1"/>
        <w:rPr>
          <w:sz w:val="24"/>
          <w:szCs w:val="24"/>
          <w:lang w:val="pt-BR"/>
        </w:rPr>
      </w:pPr>
    </w:p>
    <w:p w:rsidR="00014D2A" w:rsidRPr="00153E8D" w:rsidRDefault="00014D2A" w:rsidP="00153E8D">
      <w:pPr>
        <w:pStyle w:val="Sinespaciado1"/>
        <w:rPr>
          <w:sz w:val="24"/>
          <w:szCs w:val="24"/>
        </w:rPr>
      </w:pPr>
      <w:r w:rsidRPr="00153E8D">
        <w:rPr>
          <w:sz w:val="24"/>
          <w:szCs w:val="24"/>
        </w:rPr>
        <w:t xml:space="preserve">• Finalmente, uma etapa de avaliação e revisão da instalação, </w:t>
      </w:r>
      <w:r w:rsidR="00B81235" w:rsidRPr="00153E8D">
        <w:rPr>
          <w:sz w:val="24"/>
          <w:szCs w:val="24"/>
        </w:rPr>
        <w:t>d</w:t>
      </w:r>
      <w:r w:rsidRPr="00153E8D">
        <w:rPr>
          <w:sz w:val="24"/>
          <w:szCs w:val="24"/>
        </w:rPr>
        <w:t>o funcionamento e se os objetivos foram atingidos.</w:t>
      </w:r>
    </w:p>
    <w:p w:rsidR="00F62191" w:rsidRPr="00153E8D" w:rsidRDefault="00F62191" w:rsidP="00153E8D">
      <w:pPr>
        <w:pStyle w:val="Sinespaciado1"/>
        <w:rPr>
          <w:sz w:val="24"/>
          <w:szCs w:val="24"/>
        </w:rPr>
      </w:pPr>
    </w:p>
    <w:p w:rsidR="00F62191" w:rsidRPr="00153E8D" w:rsidRDefault="00153E8D" w:rsidP="00153E8D">
      <w:pPr>
        <w:pStyle w:val="Sinespaciado1"/>
        <w:rPr>
          <w:b/>
          <w:sz w:val="24"/>
          <w:szCs w:val="24"/>
          <w:lang w:val="pt-BR"/>
        </w:rPr>
      </w:pPr>
      <w:r w:rsidRPr="00153E8D">
        <w:rPr>
          <w:b/>
          <w:sz w:val="24"/>
          <w:szCs w:val="24"/>
          <w:lang w:val="pt-BR"/>
        </w:rPr>
        <w:t>Compromisso e apoio político</w:t>
      </w:r>
    </w:p>
    <w:p w:rsidR="00153E8D" w:rsidRPr="00153E8D" w:rsidRDefault="00153E8D" w:rsidP="00153E8D">
      <w:pPr>
        <w:pStyle w:val="Sinespaciado1"/>
        <w:rPr>
          <w:sz w:val="24"/>
          <w:szCs w:val="24"/>
          <w:lang w:val="pt-BR"/>
        </w:rPr>
      </w:pPr>
    </w:p>
    <w:p w:rsidR="00F62191" w:rsidRPr="00153E8D" w:rsidRDefault="00E56C26" w:rsidP="00153E8D">
      <w:pPr>
        <w:pStyle w:val="Sinespaciado1"/>
        <w:rPr>
          <w:sz w:val="24"/>
          <w:szCs w:val="24"/>
        </w:rPr>
      </w:pPr>
      <w:r w:rsidRPr="00153E8D">
        <w:rPr>
          <w:sz w:val="24"/>
          <w:szCs w:val="24"/>
          <w:lang w:val="pt-BR"/>
        </w:rPr>
        <w:t xml:space="preserve">A participação </w:t>
      </w:r>
      <w:r w:rsidR="00F62191" w:rsidRPr="00153E8D">
        <w:rPr>
          <w:sz w:val="24"/>
          <w:szCs w:val="24"/>
          <w:lang w:val="pt-BR"/>
        </w:rPr>
        <w:t xml:space="preserve">dos mais altos níveis políticos </w:t>
      </w:r>
      <w:r w:rsidRPr="00153E8D">
        <w:rPr>
          <w:sz w:val="24"/>
          <w:szCs w:val="24"/>
          <w:lang w:val="pt-BR"/>
        </w:rPr>
        <w:t>é fundamental</w:t>
      </w:r>
      <w:r w:rsidR="00F62191" w:rsidRPr="00153E8D">
        <w:rPr>
          <w:sz w:val="24"/>
          <w:szCs w:val="24"/>
          <w:lang w:val="pt-BR"/>
        </w:rPr>
        <w:t xml:space="preserve"> para </w:t>
      </w:r>
      <w:r w:rsidRPr="00153E8D">
        <w:rPr>
          <w:sz w:val="24"/>
          <w:szCs w:val="24"/>
          <w:lang w:val="pt-BR"/>
        </w:rPr>
        <w:t>ter</w:t>
      </w:r>
      <w:r w:rsidR="00F62191" w:rsidRPr="00153E8D">
        <w:rPr>
          <w:sz w:val="24"/>
          <w:szCs w:val="24"/>
          <w:lang w:val="pt-BR"/>
        </w:rPr>
        <w:t xml:space="preserve"> sucesso no desenvolvimento e instalação dos PNADH. </w:t>
      </w:r>
      <w:r w:rsidR="00F62191" w:rsidRPr="00153E8D">
        <w:rPr>
          <w:sz w:val="24"/>
          <w:szCs w:val="24"/>
        </w:rPr>
        <w:t>A vontade política está estreitamente ligada ao compromisso dos atores</w:t>
      </w:r>
      <w:r w:rsidRPr="00153E8D">
        <w:rPr>
          <w:sz w:val="24"/>
          <w:szCs w:val="24"/>
        </w:rPr>
        <w:t xml:space="preserve"> com o plano</w:t>
      </w:r>
      <w:r w:rsidR="00F62191" w:rsidRPr="00153E8D">
        <w:rPr>
          <w:sz w:val="24"/>
          <w:szCs w:val="24"/>
        </w:rPr>
        <w:t xml:space="preserve">. </w:t>
      </w:r>
    </w:p>
    <w:p w:rsidR="00F62191" w:rsidRPr="00153E8D" w:rsidRDefault="00F62191" w:rsidP="00153E8D">
      <w:pPr>
        <w:pStyle w:val="Sinespaciado1"/>
        <w:rPr>
          <w:sz w:val="24"/>
          <w:szCs w:val="24"/>
        </w:rPr>
      </w:pPr>
    </w:p>
    <w:p w:rsidR="00153E8D" w:rsidRPr="00153E8D" w:rsidRDefault="00F62191" w:rsidP="00153E8D">
      <w:pPr>
        <w:pStyle w:val="Sinespaciado1"/>
        <w:rPr>
          <w:sz w:val="24"/>
          <w:szCs w:val="24"/>
        </w:rPr>
      </w:pPr>
      <w:r w:rsidRPr="00153E8D">
        <w:rPr>
          <w:sz w:val="24"/>
          <w:szCs w:val="24"/>
        </w:rPr>
        <w:t>O</w:t>
      </w:r>
      <w:r w:rsidR="00E56C26" w:rsidRPr="00153E8D">
        <w:rPr>
          <w:sz w:val="24"/>
          <w:szCs w:val="24"/>
        </w:rPr>
        <w:t xml:space="preserve">s poderes do Estado </w:t>
      </w:r>
      <w:r w:rsidRPr="00153E8D">
        <w:rPr>
          <w:sz w:val="24"/>
          <w:szCs w:val="24"/>
        </w:rPr>
        <w:t>têm que</w:t>
      </w:r>
      <w:r w:rsidR="00E56C26" w:rsidRPr="00153E8D">
        <w:rPr>
          <w:sz w:val="24"/>
          <w:szCs w:val="24"/>
        </w:rPr>
        <w:t xml:space="preserve"> adotar um papel ativo para que o </w:t>
      </w:r>
      <w:r w:rsidRPr="00153E8D">
        <w:rPr>
          <w:sz w:val="24"/>
          <w:szCs w:val="24"/>
        </w:rPr>
        <w:t>PNADH seja um instrumento vivo que atinja resultados concretos.</w:t>
      </w:r>
      <w:r w:rsidR="00E56C26" w:rsidRPr="00153E8D">
        <w:rPr>
          <w:sz w:val="24"/>
          <w:szCs w:val="24"/>
        </w:rPr>
        <w:t xml:space="preserve"> O compromisso político deve </w:t>
      </w:r>
      <w:r w:rsidR="00B81235" w:rsidRPr="00153E8D">
        <w:rPr>
          <w:sz w:val="24"/>
          <w:szCs w:val="24"/>
        </w:rPr>
        <w:t xml:space="preserve">se </w:t>
      </w:r>
      <w:r w:rsidR="00E56C26" w:rsidRPr="00153E8D">
        <w:rPr>
          <w:sz w:val="24"/>
          <w:szCs w:val="24"/>
        </w:rPr>
        <w:t xml:space="preserve">refletir </w:t>
      </w:r>
      <w:r w:rsidR="000C2069" w:rsidRPr="00153E8D">
        <w:rPr>
          <w:sz w:val="24"/>
          <w:szCs w:val="24"/>
        </w:rPr>
        <w:t>na atribuição d</w:t>
      </w:r>
      <w:r w:rsidR="00E56C26" w:rsidRPr="00153E8D">
        <w:rPr>
          <w:sz w:val="24"/>
          <w:szCs w:val="24"/>
        </w:rPr>
        <w:t>os recursos suficientes para cobri</w:t>
      </w:r>
      <w:r w:rsidR="000C2069" w:rsidRPr="00153E8D">
        <w:rPr>
          <w:sz w:val="24"/>
          <w:szCs w:val="24"/>
        </w:rPr>
        <w:t xml:space="preserve">r as </w:t>
      </w:r>
      <w:r w:rsidR="00E56C26" w:rsidRPr="00153E8D">
        <w:rPr>
          <w:sz w:val="24"/>
          <w:szCs w:val="24"/>
        </w:rPr>
        <w:t>necessidades orçamentárias</w:t>
      </w:r>
      <w:r w:rsidR="000C2069" w:rsidRPr="00153E8D">
        <w:rPr>
          <w:sz w:val="24"/>
          <w:szCs w:val="24"/>
        </w:rPr>
        <w:t xml:space="preserve"> do plano</w:t>
      </w:r>
      <w:r w:rsidR="00E56C26" w:rsidRPr="00153E8D">
        <w:rPr>
          <w:sz w:val="24"/>
          <w:szCs w:val="24"/>
        </w:rPr>
        <w:t>.</w:t>
      </w:r>
    </w:p>
    <w:p w:rsidR="00CD299B" w:rsidRPr="00153E8D" w:rsidRDefault="00F62191" w:rsidP="00153E8D">
      <w:pPr>
        <w:pStyle w:val="Sinespaciado1"/>
        <w:rPr>
          <w:sz w:val="24"/>
          <w:szCs w:val="24"/>
        </w:rPr>
      </w:pPr>
      <w:r w:rsidRPr="00153E8D">
        <w:rPr>
          <w:sz w:val="24"/>
          <w:szCs w:val="24"/>
        </w:rPr>
        <w:t xml:space="preserve"> </w:t>
      </w:r>
    </w:p>
    <w:p w:rsidR="00CD299B" w:rsidRPr="00153E8D" w:rsidRDefault="00153E8D" w:rsidP="00153E8D">
      <w:pPr>
        <w:pStyle w:val="Sinespaciado1"/>
        <w:rPr>
          <w:b/>
          <w:sz w:val="24"/>
          <w:szCs w:val="24"/>
        </w:rPr>
      </w:pPr>
      <w:r w:rsidRPr="00153E8D">
        <w:rPr>
          <w:b/>
          <w:sz w:val="24"/>
          <w:szCs w:val="24"/>
        </w:rPr>
        <w:t>Participação pública</w:t>
      </w:r>
    </w:p>
    <w:p w:rsidR="00153E8D" w:rsidRPr="00153E8D" w:rsidRDefault="00153E8D" w:rsidP="00153E8D">
      <w:pPr>
        <w:pStyle w:val="Sinespaciado1"/>
        <w:rPr>
          <w:sz w:val="24"/>
          <w:szCs w:val="24"/>
        </w:rPr>
      </w:pPr>
    </w:p>
    <w:p w:rsidR="0034292E" w:rsidRPr="00153E8D" w:rsidRDefault="0034292E" w:rsidP="00153E8D">
      <w:pPr>
        <w:pStyle w:val="Sinespaciado1"/>
        <w:rPr>
          <w:sz w:val="24"/>
          <w:szCs w:val="24"/>
          <w:lang w:val="pt-BR"/>
        </w:rPr>
      </w:pPr>
      <w:r w:rsidRPr="00153E8D">
        <w:rPr>
          <w:sz w:val="24"/>
          <w:szCs w:val="24"/>
          <w:lang w:val="pt-BR"/>
        </w:rPr>
        <w:t xml:space="preserve">Como princípio orientador, o plano deve ser entendido como um projeto nacional e </w:t>
      </w:r>
      <w:r w:rsidR="000C2069" w:rsidRPr="00153E8D">
        <w:rPr>
          <w:sz w:val="24"/>
          <w:szCs w:val="24"/>
          <w:lang w:val="pt-BR"/>
        </w:rPr>
        <w:t>quanto mais os setores participarem</w:t>
      </w:r>
      <w:r w:rsidRPr="00153E8D">
        <w:rPr>
          <w:sz w:val="24"/>
          <w:szCs w:val="24"/>
          <w:lang w:val="pt-BR"/>
        </w:rPr>
        <w:t xml:space="preserve"> da sua elaboração, os seus resultados serão mais efetivos e permanentes,</w:t>
      </w:r>
    </w:p>
    <w:p w:rsidR="0034292E" w:rsidRPr="00153E8D" w:rsidRDefault="0034292E" w:rsidP="00153E8D">
      <w:pPr>
        <w:pStyle w:val="Sinespaciado1"/>
        <w:rPr>
          <w:sz w:val="24"/>
          <w:szCs w:val="24"/>
          <w:lang w:val="pt-BR"/>
        </w:rPr>
      </w:pPr>
    </w:p>
    <w:p w:rsidR="00CD299B" w:rsidRPr="00153E8D" w:rsidRDefault="0034292E" w:rsidP="00153E8D">
      <w:pPr>
        <w:pStyle w:val="Sinespaciado1"/>
        <w:rPr>
          <w:sz w:val="24"/>
          <w:szCs w:val="24"/>
        </w:rPr>
      </w:pPr>
      <w:r w:rsidRPr="00153E8D">
        <w:rPr>
          <w:sz w:val="24"/>
          <w:szCs w:val="24"/>
        </w:rPr>
        <w:t>É por isso que os</w:t>
      </w:r>
      <w:r w:rsidR="00CD299B" w:rsidRPr="00153E8D">
        <w:rPr>
          <w:sz w:val="24"/>
          <w:szCs w:val="24"/>
        </w:rPr>
        <w:t xml:space="preserve"> es</w:t>
      </w:r>
      <w:r w:rsidRPr="00153E8D">
        <w:rPr>
          <w:sz w:val="24"/>
          <w:szCs w:val="24"/>
        </w:rPr>
        <w:t xml:space="preserve">forços devem tentar </w:t>
      </w:r>
      <w:r w:rsidR="00CD299B" w:rsidRPr="00153E8D">
        <w:rPr>
          <w:sz w:val="24"/>
          <w:szCs w:val="24"/>
        </w:rPr>
        <w:t>evitar</w:t>
      </w:r>
      <w:r w:rsidRPr="00153E8D">
        <w:rPr>
          <w:sz w:val="24"/>
          <w:szCs w:val="24"/>
        </w:rPr>
        <w:t xml:space="preserve"> que os PNADH vire</w:t>
      </w:r>
      <w:r w:rsidR="00CD299B" w:rsidRPr="00153E8D">
        <w:rPr>
          <w:sz w:val="24"/>
          <w:szCs w:val="24"/>
        </w:rPr>
        <w:t xml:space="preserve">m um exercício focado essencialmente no governo </w:t>
      </w:r>
      <w:r w:rsidRPr="00153E8D">
        <w:rPr>
          <w:sz w:val="24"/>
          <w:szCs w:val="24"/>
        </w:rPr>
        <w:t>ou em organizações da</w:t>
      </w:r>
      <w:r w:rsidR="00CD299B" w:rsidRPr="00153E8D">
        <w:rPr>
          <w:sz w:val="24"/>
          <w:szCs w:val="24"/>
        </w:rPr>
        <w:t xml:space="preserve"> sociedade civil.</w:t>
      </w:r>
      <w:r w:rsidRPr="00153E8D">
        <w:rPr>
          <w:sz w:val="24"/>
          <w:szCs w:val="24"/>
        </w:rPr>
        <w:t xml:space="preserve"> É importante convocar audiências públicas</w:t>
      </w:r>
      <w:r w:rsidR="000C2069" w:rsidRPr="00153E8D">
        <w:rPr>
          <w:sz w:val="24"/>
          <w:szCs w:val="24"/>
        </w:rPr>
        <w:t xml:space="preserve"> amplas para discutir o PNADH, nas quais </w:t>
      </w:r>
      <w:r w:rsidRPr="00153E8D">
        <w:rPr>
          <w:sz w:val="24"/>
          <w:szCs w:val="24"/>
        </w:rPr>
        <w:t xml:space="preserve">os participantes possam formular recomendações. </w:t>
      </w:r>
    </w:p>
    <w:p w:rsidR="0034292E" w:rsidRPr="00153E8D" w:rsidRDefault="0034292E" w:rsidP="00153E8D">
      <w:pPr>
        <w:pStyle w:val="Sinespaciado1"/>
        <w:rPr>
          <w:sz w:val="24"/>
          <w:szCs w:val="24"/>
        </w:rPr>
      </w:pPr>
    </w:p>
    <w:p w:rsidR="00E9188F" w:rsidRPr="00153E8D" w:rsidRDefault="00153E8D" w:rsidP="00153E8D">
      <w:pPr>
        <w:pStyle w:val="Sinespaciado1"/>
        <w:rPr>
          <w:b/>
          <w:sz w:val="24"/>
          <w:szCs w:val="24"/>
        </w:rPr>
      </w:pPr>
      <w:r w:rsidRPr="00153E8D">
        <w:rPr>
          <w:b/>
          <w:sz w:val="24"/>
          <w:szCs w:val="24"/>
        </w:rPr>
        <w:t>PNADH na América do Sul</w:t>
      </w:r>
    </w:p>
    <w:p w:rsidR="00153E8D" w:rsidRPr="00153E8D" w:rsidRDefault="00153E8D" w:rsidP="00153E8D">
      <w:pPr>
        <w:pStyle w:val="Sinespaciado1"/>
        <w:rPr>
          <w:sz w:val="24"/>
          <w:szCs w:val="24"/>
        </w:rPr>
      </w:pPr>
    </w:p>
    <w:p w:rsidR="0034292E" w:rsidRPr="00153E8D" w:rsidRDefault="0034292E" w:rsidP="00153E8D">
      <w:pPr>
        <w:pStyle w:val="Sinespaciado1"/>
        <w:rPr>
          <w:sz w:val="24"/>
          <w:szCs w:val="24"/>
        </w:rPr>
      </w:pPr>
      <w:r w:rsidRPr="00153E8D">
        <w:rPr>
          <w:sz w:val="24"/>
          <w:szCs w:val="24"/>
          <w:lang w:val="pt-BR"/>
        </w:rPr>
        <w:t xml:space="preserve">Na América do Sul, os países têm </w:t>
      </w:r>
      <w:r w:rsidR="007C0091" w:rsidRPr="00153E8D">
        <w:rPr>
          <w:sz w:val="24"/>
          <w:szCs w:val="24"/>
          <w:lang w:val="pt-BR"/>
        </w:rPr>
        <w:t xml:space="preserve">diferentes </w:t>
      </w:r>
      <w:r w:rsidRPr="00153E8D">
        <w:rPr>
          <w:sz w:val="24"/>
          <w:szCs w:val="24"/>
          <w:lang w:val="pt-BR"/>
        </w:rPr>
        <w:t xml:space="preserve">graus de avanço no </w:t>
      </w:r>
      <w:r w:rsidR="007C0091" w:rsidRPr="00153E8D">
        <w:rPr>
          <w:sz w:val="24"/>
          <w:szCs w:val="24"/>
          <w:lang w:val="pt-BR"/>
        </w:rPr>
        <w:t xml:space="preserve">desenvolvimento e instalação de PNADH. </w:t>
      </w:r>
      <w:r w:rsidR="007C0091" w:rsidRPr="00153E8D">
        <w:rPr>
          <w:sz w:val="24"/>
          <w:szCs w:val="24"/>
        </w:rPr>
        <w:t xml:space="preserve">Bolívia, Brasil, Colômbia, Equador, Peru e Venezuela </w:t>
      </w:r>
      <w:r w:rsidRPr="00153E8D">
        <w:rPr>
          <w:sz w:val="24"/>
          <w:szCs w:val="24"/>
        </w:rPr>
        <w:t xml:space="preserve">têm um plano ou iniciaram </w:t>
      </w:r>
      <w:r w:rsidR="007C0091" w:rsidRPr="00153E8D">
        <w:rPr>
          <w:sz w:val="24"/>
          <w:szCs w:val="24"/>
        </w:rPr>
        <w:t xml:space="preserve">o processo de instalação. </w:t>
      </w:r>
    </w:p>
    <w:p w:rsidR="0034292E" w:rsidRPr="00153E8D" w:rsidRDefault="0034292E" w:rsidP="00153E8D">
      <w:pPr>
        <w:pStyle w:val="Sinespaciado1"/>
        <w:rPr>
          <w:sz w:val="24"/>
          <w:szCs w:val="24"/>
        </w:rPr>
      </w:pPr>
    </w:p>
    <w:p w:rsidR="00586CBA" w:rsidRPr="00153E8D" w:rsidRDefault="007C0091" w:rsidP="00153E8D">
      <w:pPr>
        <w:pStyle w:val="Sinespaciado1"/>
        <w:rPr>
          <w:sz w:val="24"/>
          <w:szCs w:val="24"/>
        </w:rPr>
      </w:pPr>
      <w:r w:rsidRPr="00153E8D">
        <w:rPr>
          <w:sz w:val="24"/>
          <w:szCs w:val="24"/>
        </w:rPr>
        <w:t xml:space="preserve">O Escritório Regional do ACNUDH para América do Sul apoia e promove a criação desses planos em todos os países que cobre. </w:t>
      </w:r>
    </w:p>
    <w:sectPr w:rsidR="00586CBA" w:rsidRPr="00153E8D" w:rsidSect="00153E8D">
      <w:pgSz w:w="12242" w:h="19221"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274" w:rsidRDefault="00233274" w:rsidP="008745EF">
      <w:pPr>
        <w:spacing w:after="0" w:line="240" w:lineRule="auto"/>
      </w:pPr>
      <w:r>
        <w:separator/>
      </w:r>
    </w:p>
  </w:endnote>
  <w:endnote w:type="continuationSeparator" w:id="1">
    <w:p w:rsidR="00233274" w:rsidRDefault="00233274" w:rsidP="00874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274" w:rsidRDefault="00233274" w:rsidP="008745EF">
      <w:pPr>
        <w:spacing w:after="0" w:line="240" w:lineRule="auto"/>
      </w:pPr>
      <w:r>
        <w:separator/>
      </w:r>
    </w:p>
  </w:footnote>
  <w:footnote w:type="continuationSeparator" w:id="1">
    <w:p w:rsidR="00233274" w:rsidRDefault="00233274" w:rsidP="00874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014"/>
    <w:multiLevelType w:val="hybridMultilevel"/>
    <w:tmpl w:val="FD6808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9917A14"/>
    <w:multiLevelType w:val="hybridMultilevel"/>
    <w:tmpl w:val="5A945A92"/>
    <w:lvl w:ilvl="0" w:tplc="29AE7DF6">
      <w:start w:val="1"/>
      <w:numFmt w:val="bullet"/>
      <w:lvlText w:val=""/>
      <w:lvlJc w:val="left"/>
      <w:pPr>
        <w:ind w:left="720" w:hanging="360"/>
      </w:pPr>
      <w:rPr>
        <w:rFonts w:ascii="Symbol" w:hAnsi="Symbol" w:hint="default"/>
        <w:lang w:val="en-U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E32698C"/>
    <w:multiLevelType w:val="hybridMultilevel"/>
    <w:tmpl w:val="5B3EDC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51E7ED6"/>
    <w:multiLevelType w:val="hybridMultilevel"/>
    <w:tmpl w:val="757EC8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5558D8"/>
    <w:multiLevelType w:val="hybridMultilevel"/>
    <w:tmpl w:val="4E5CB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59C45FC"/>
    <w:multiLevelType w:val="hybridMultilevel"/>
    <w:tmpl w:val="3CC0F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CB31D0"/>
    <w:multiLevelType w:val="hybridMultilevel"/>
    <w:tmpl w:val="F8E05E7E"/>
    <w:lvl w:ilvl="0" w:tplc="340A0001">
      <w:start w:val="1"/>
      <w:numFmt w:val="bullet"/>
      <w:lvlText w:val=""/>
      <w:lvlJc w:val="left"/>
      <w:pPr>
        <w:ind w:left="795" w:hanging="360"/>
      </w:pPr>
      <w:rPr>
        <w:rFonts w:ascii="Symbol" w:hAnsi="Symbol"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7">
    <w:nsid w:val="491F6889"/>
    <w:multiLevelType w:val="multilevel"/>
    <w:tmpl w:val="27B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A00D2"/>
    <w:multiLevelType w:val="multilevel"/>
    <w:tmpl w:val="611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017B1"/>
    <w:multiLevelType w:val="hybridMultilevel"/>
    <w:tmpl w:val="2F2C070E"/>
    <w:lvl w:ilvl="0" w:tplc="79645A14">
      <w:start w:val="3"/>
      <w:numFmt w:val="bullet"/>
      <w:lvlText w:val="-"/>
      <w:lvlJc w:val="left"/>
      <w:pPr>
        <w:tabs>
          <w:tab w:val="num" w:pos="720"/>
        </w:tabs>
        <w:ind w:left="720" w:hanging="360"/>
      </w:pPr>
      <w:rPr>
        <w:rFonts w:ascii="Arial Narrow" w:eastAsia="DejaVu Sans" w:hAnsi="Arial Narrow" w:cs="DejaVu San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F65C7"/>
    <w:multiLevelType w:val="hybridMultilevel"/>
    <w:tmpl w:val="97AAC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F07E0C"/>
    <w:multiLevelType w:val="hybridMultilevel"/>
    <w:tmpl w:val="EADED5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14538D"/>
    <w:multiLevelType w:val="hybridMultilevel"/>
    <w:tmpl w:val="2B723A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33B60EB"/>
    <w:multiLevelType w:val="multilevel"/>
    <w:tmpl w:val="55D2CCAA"/>
    <w:lvl w:ilvl="0">
      <w:start w:val="1"/>
      <w:numFmt w:val="bullet"/>
      <w:lvlText w:val=""/>
      <w:lvlJc w:val="left"/>
      <w:pPr>
        <w:tabs>
          <w:tab w:val="num" w:pos="1800"/>
        </w:tabs>
        <w:ind w:left="1800" w:hanging="360"/>
      </w:pPr>
      <w:rPr>
        <w:rFonts w:ascii="Symbol" w:hAnsi="Symbol" w:hint="default"/>
      </w:rPr>
    </w:lvl>
    <w:lvl w:ilvl="1">
      <w:numFmt w:val="bullet"/>
      <w:lvlText w:val=""/>
      <w:lvlJc w:val="left"/>
      <w:pPr>
        <w:tabs>
          <w:tab w:val="num" w:pos="1800"/>
        </w:tabs>
        <w:ind w:left="1800" w:hanging="72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6B146EA"/>
    <w:multiLevelType w:val="hybridMultilevel"/>
    <w:tmpl w:val="D400A2FC"/>
    <w:lvl w:ilvl="0" w:tplc="99D62A5E">
      <w:start w:val="4"/>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D631AAE"/>
    <w:multiLevelType w:val="hybridMultilevel"/>
    <w:tmpl w:val="5810DD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7"/>
  </w:num>
  <w:num w:numId="5">
    <w:abstractNumId w:val="8"/>
  </w:num>
  <w:num w:numId="6">
    <w:abstractNumId w:val="10"/>
  </w:num>
  <w:num w:numId="7">
    <w:abstractNumId w:val="2"/>
  </w:num>
  <w:num w:numId="8">
    <w:abstractNumId w:val="9"/>
  </w:num>
  <w:num w:numId="9">
    <w:abstractNumId w:val="1"/>
  </w:num>
  <w:num w:numId="10">
    <w:abstractNumId w:val="4"/>
  </w:num>
  <w:num w:numId="11">
    <w:abstractNumId w:val="11"/>
  </w:num>
  <w:num w:numId="12">
    <w:abstractNumId w:val="5"/>
  </w:num>
  <w:num w:numId="13">
    <w:abstractNumId w:val="0"/>
  </w:num>
  <w:num w:numId="14">
    <w:abstractNumId w:val="1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745EF"/>
    <w:rsid w:val="00006F5A"/>
    <w:rsid w:val="00014D2A"/>
    <w:rsid w:val="00020AFE"/>
    <w:rsid w:val="00031016"/>
    <w:rsid w:val="00044357"/>
    <w:rsid w:val="000760A2"/>
    <w:rsid w:val="000A0534"/>
    <w:rsid w:val="000A598A"/>
    <w:rsid w:val="000A6FDD"/>
    <w:rsid w:val="000B28A1"/>
    <w:rsid w:val="000B4AB1"/>
    <w:rsid w:val="000C03D1"/>
    <w:rsid w:val="000C2069"/>
    <w:rsid w:val="000D21D2"/>
    <w:rsid w:val="000D79FB"/>
    <w:rsid w:val="000E1F88"/>
    <w:rsid w:val="000E3769"/>
    <w:rsid w:val="000E4D2C"/>
    <w:rsid w:val="000F077C"/>
    <w:rsid w:val="00103707"/>
    <w:rsid w:val="00110DCB"/>
    <w:rsid w:val="00111B13"/>
    <w:rsid w:val="00116BE5"/>
    <w:rsid w:val="00122435"/>
    <w:rsid w:val="001244C2"/>
    <w:rsid w:val="00126CE6"/>
    <w:rsid w:val="00127650"/>
    <w:rsid w:val="00142094"/>
    <w:rsid w:val="00147A76"/>
    <w:rsid w:val="00150868"/>
    <w:rsid w:val="00151486"/>
    <w:rsid w:val="00153E8D"/>
    <w:rsid w:val="00166589"/>
    <w:rsid w:val="00171E73"/>
    <w:rsid w:val="001734C4"/>
    <w:rsid w:val="00180C3C"/>
    <w:rsid w:val="001862EC"/>
    <w:rsid w:val="00186D56"/>
    <w:rsid w:val="001A1DA5"/>
    <w:rsid w:val="001A45C7"/>
    <w:rsid w:val="001D6944"/>
    <w:rsid w:val="001E6CB8"/>
    <w:rsid w:val="001F0A76"/>
    <w:rsid w:val="001F3FE3"/>
    <w:rsid w:val="00201266"/>
    <w:rsid w:val="00202343"/>
    <w:rsid w:val="002025F1"/>
    <w:rsid w:val="00203DF5"/>
    <w:rsid w:val="00205897"/>
    <w:rsid w:val="00212A1D"/>
    <w:rsid w:val="002218E7"/>
    <w:rsid w:val="002231DF"/>
    <w:rsid w:val="00233274"/>
    <w:rsid w:val="00236328"/>
    <w:rsid w:val="002364CB"/>
    <w:rsid w:val="0023664E"/>
    <w:rsid w:val="002418BF"/>
    <w:rsid w:val="0025231A"/>
    <w:rsid w:val="00253A6A"/>
    <w:rsid w:val="00255409"/>
    <w:rsid w:val="00260CB5"/>
    <w:rsid w:val="002622FC"/>
    <w:rsid w:val="002648D0"/>
    <w:rsid w:val="00277413"/>
    <w:rsid w:val="002825E1"/>
    <w:rsid w:val="0028484E"/>
    <w:rsid w:val="00290E7F"/>
    <w:rsid w:val="00296CED"/>
    <w:rsid w:val="002973ED"/>
    <w:rsid w:val="002A430F"/>
    <w:rsid w:val="002A7183"/>
    <w:rsid w:val="002A78F6"/>
    <w:rsid w:val="002C29BA"/>
    <w:rsid w:val="002C3232"/>
    <w:rsid w:val="002D37C0"/>
    <w:rsid w:val="002E332C"/>
    <w:rsid w:val="002E7BF9"/>
    <w:rsid w:val="002F0D12"/>
    <w:rsid w:val="002F2CA2"/>
    <w:rsid w:val="002F644C"/>
    <w:rsid w:val="0031124F"/>
    <w:rsid w:val="00322ED8"/>
    <w:rsid w:val="00335090"/>
    <w:rsid w:val="0034292E"/>
    <w:rsid w:val="00353CDA"/>
    <w:rsid w:val="00362F4E"/>
    <w:rsid w:val="00382416"/>
    <w:rsid w:val="00390D0F"/>
    <w:rsid w:val="003950CA"/>
    <w:rsid w:val="00396454"/>
    <w:rsid w:val="003F255C"/>
    <w:rsid w:val="003F2C33"/>
    <w:rsid w:val="00403EBA"/>
    <w:rsid w:val="004415AC"/>
    <w:rsid w:val="00452750"/>
    <w:rsid w:val="00470C14"/>
    <w:rsid w:val="00471C70"/>
    <w:rsid w:val="00473AB2"/>
    <w:rsid w:val="004A1E14"/>
    <w:rsid w:val="004D2551"/>
    <w:rsid w:val="004D38F7"/>
    <w:rsid w:val="004D3C0C"/>
    <w:rsid w:val="004D57D4"/>
    <w:rsid w:val="004E1AE9"/>
    <w:rsid w:val="004E39FF"/>
    <w:rsid w:val="004F1AF2"/>
    <w:rsid w:val="004F410B"/>
    <w:rsid w:val="00512873"/>
    <w:rsid w:val="005245C4"/>
    <w:rsid w:val="00526E82"/>
    <w:rsid w:val="00543858"/>
    <w:rsid w:val="00545084"/>
    <w:rsid w:val="00547196"/>
    <w:rsid w:val="005624B3"/>
    <w:rsid w:val="005779CD"/>
    <w:rsid w:val="00582CC4"/>
    <w:rsid w:val="00586CBA"/>
    <w:rsid w:val="005874E8"/>
    <w:rsid w:val="005976C2"/>
    <w:rsid w:val="00597AC8"/>
    <w:rsid w:val="00597F80"/>
    <w:rsid w:val="005C1E4C"/>
    <w:rsid w:val="005D1C77"/>
    <w:rsid w:val="005D66F9"/>
    <w:rsid w:val="005D701B"/>
    <w:rsid w:val="005D7561"/>
    <w:rsid w:val="005D7615"/>
    <w:rsid w:val="005E02A4"/>
    <w:rsid w:val="005E15AC"/>
    <w:rsid w:val="005E2A84"/>
    <w:rsid w:val="005F2AB7"/>
    <w:rsid w:val="005F5E8B"/>
    <w:rsid w:val="00602CB0"/>
    <w:rsid w:val="006070CE"/>
    <w:rsid w:val="00622D67"/>
    <w:rsid w:val="00630336"/>
    <w:rsid w:val="00637B69"/>
    <w:rsid w:val="00650F1B"/>
    <w:rsid w:val="0066303C"/>
    <w:rsid w:val="00667E34"/>
    <w:rsid w:val="00682B47"/>
    <w:rsid w:val="00685BD0"/>
    <w:rsid w:val="006945A5"/>
    <w:rsid w:val="006A0277"/>
    <w:rsid w:val="006A12D6"/>
    <w:rsid w:val="006B2EE0"/>
    <w:rsid w:val="006B4511"/>
    <w:rsid w:val="006B7B1B"/>
    <w:rsid w:val="006C0CE7"/>
    <w:rsid w:val="006C5BAC"/>
    <w:rsid w:val="006C6386"/>
    <w:rsid w:val="006E35C4"/>
    <w:rsid w:val="00705C55"/>
    <w:rsid w:val="0071234D"/>
    <w:rsid w:val="00721BF6"/>
    <w:rsid w:val="00731893"/>
    <w:rsid w:val="0074130A"/>
    <w:rsid w:val="00751CB4"/>
    <w:rsid w:val="00753B14"/>
    <w:rsid w:val="00754F81"/>
    <w:rsid w:val="00756161"/>
    <w:rsid w:val="007614BB"/>
    <w:rsid w:val="00761B27"/>
    <w:rsid w:val="00762B8B"/>
    <w:rsid w:val="00763036"/>
    <w:rsid w:val="007725A6"/>
    <w:rsid w:val="00772D81"/>
    <w:rsid w:val="00796EB6"/>
    <w:rsid w:val="007A4989"/>
    <w:rsid w:val="007A661A"/>
    <w:rsid w:val="007A7ECE"/>
    <w:rsid w:val="007C0091"/>
    <w:rsid w:val="007C21CD"/>
    <w:rsid w:val="007C25C4"/>
    <w:rsid w:val="007D6786"/>
    <w:rsid w:val="007E61DA"/>
    <w:rsid w:val="00800183"/>
    <w:rsid w:val="0080338B"/>
    <w:rsid w:val="008118A7"/>
    <w:rsid w:val="008154CF"/>
    <w:rsid w:val="00817554"/>
    <w:rsid w:val="00822259"/>
    <w:rsid w:val="0082493E"/>
    <w:rsid w:val="008314F9"/>
    <w:rsid w:val="008432D6"/>
    <w:rsid w:val="0085637D"/>
    <w:rsid w:val="00865C75"/>
    <w:rsid w:val="008745EF"/>
    <w:rsid w:val="00875F29"/>
    <w:rsid w:val="0088323A"/>
    <w:rsid w:val="00887969"/>
    <w:rsid w:val="008957B0"/>
    <w:rsid w:val="008A1D36"/>
    <w:rsid w:val="008B1941"/>
    <w:rsid w:val="008B32D9"/>
    <w:rsid w:val="008B75F6"/>
    <w:rsid w:val="008B783A"/>
    <w:rsid w:val="008C4849"/>
    <w:rsid w:val="008C52A0"/>
    <w:rsid w:val="008C71E3"/>
    <w:rsid w:val="008D0C11"/>
    <w:rsid w:val="008D3FC5"/>
    <w:rsid w:val="008D4707"/>
    <w:rsid w:val="008E7A38"/>
    <w:rsid w:val="008F0AB8"/>
    <w:rsid w:val="009000F0"/>
    <w:rsid w:val="00903CEF"/>
    <w:rsid w:val="009065DB"/>
    <w:rsid w:val="00934360"/>
    <w:rsid w:val="00943709"/>
    <w:rsid w:val="009451FF"/>
    <w:rsid w:val="00954E6C"/>
    <w:rsid w:val="00960B4F"/>
    <w:rsid w:val="0099026F"/>
    <w:rsid w:val="0099098B"/>
    <w:rsid w:val="009950D0"/>
    <w:rsid w:val="009A11AA"/>
    <w:rsid w:val="009A6ABA"/>
    <w:rsid w:val="009B262A"/>
    <w:rsid w:val="009B27EC"/>
    <w:rsid w:val="009B5B26"/>
    <w:rsid w:val="009B7AA5"/>
    <w:rsid w:val="009C2020"/>
    <w:rsid w:val="009D3D23"/>
    <w:rsid w:val="009D4969"/>
    <w:rsid w:val="009D674E"/>
    <w:rsid w:val="009E695B"/>
    <w:rsid w:val="009F2EDA"/>
    <w:rsid w:val="00A06FE1"/>
    <w:rsid w:val="00A07E63"/>
    <w:rsid w:val="00A1720B"/>
    <w:rsid w:val="00A30D60"/>
    <w:rsid w:val="00A351B4"/>
    <w:rsid w:val="00A51C5B"/>
    <w:rsid w:val="00A53A04"/>
    <w:rsid w:val="00A62269"/>
    <w:rsid w:val="00A62592"/>
    <w:rsid w:val="00A71809"/>
    <w:rsid w:val="00A76323"/>
    <w:rsid w:val="00A806F6"/>
    <w:rsid w:val="00A84B8F"/>
    <w:rsid w:val="00A96672"/>
    <w:rsid w:val="00AA3E36"/>
    <w:rsid w:val="00AB343B"/>
    <w:rsid w:val="00AC4917"/>
    <w:rsid w:val="00AD0BC2"/>
    <w:rsid w:val="00AD1655"/>
    <w:rsid w:val="00AD5114"/>
    <w:rsid w:val="00AE56DC"/>
    <w:rsid w:val="00B03197"/>
    <w:rsid w:val="00B03EEB"/>
    <w:rsid w:val="00B04863"/>
    <w:rsid w:val="00B201CC"/>
    <w:rsid w:val="00B212F7"/>
    <w:rsid w:val="00B279A4"/>
    <w:rsid w:val="00B444FC"/>
    <w:rsid w:val="00B44DFE"/>
    <w:rsid w:val="00B5771E"/>
    <w:rsid w:val="00B65069"/>
    <w:rsid w:val="00B81235"/>
    <w:rsid w:val="00B85230"/>
    <w:rsid w:val="00B85CA6"/>
    <w:rsid w:val="00BB72AA"/>
    <w:rsid w:val="00BC7876"/>
    <w:rsid w:val="00BE1604"/>
    <w:rsid w:val="00BE6295"/>
    <w:rsid w:val="00BF4ABB"/>
    <w:rsid w:val="00C0160F"/>
    <w:rsid w:val="00C3138B"/>
    <w:rsid w:val="00C3362E"/>
    <w:rsid w:val="00C55119"/>
    <w:rsid w:val="00C551CE"/>
    <w:rsid w:val="00C63059"/>
    <w:rsid w:val="00C6348A"/>
    <w:rsid w:val="00C70367"/>
    <w:rsid w:val="00C7338F"/>
    <w:rsid w:val="00C75911"/>
    <w:rsid w:val="00C820A9"/>
    <w:rsid w:val="00CB1F6E"/>
    <w:rsid w:val="00CB3BF2"/>
    <w:rsid w:val="00CC721E"/>
    <w:rsid w:val="00CD299B"/>
    <w:rsid w:val="00CE0603"/>
    <w:rsid w:val="00CE183E"/>
    <w:rsid w:val="00CE498A"/>
    <w:rsid w:val="00CF12D5"/>
    <w:rsid w:val="00D1118D"/>
    <w:rsid w:val="00D456CA"/>
    <w:rsid w:val="00D51A73"/>
    <w:rsid w:val="00D65AE9"/>
    <w:rsid w:val="00D74143"/>
    <w:rsid w:val="00D80279"/>
    <w:rsid w:val="00D80C4A"/>
    <w:rsid w:val="00D85228"/>
    <w:rsid w:val="00D863FF"/>
    <w:rsid w:val="00D97ABD"/>
    <w:rsid w:val="00DA4974"/>
    <w:rsid w:val="00DB0D16"/>
    <w:rsid w:val="00DB1B5C"/>
    <w:rsid w:val="00DB3CA0"/>
    <w:rsid w:val="00DB4C56"/>
    <w:rsid w:val="00DB5215"/>
    <w:rsid w:val="00DB795A"/>
    <w:rsid w:val="00DB7E7D"/>
    <w:rsid w:val="00DC212C"/>
    <w:rsid w:val="00DC35BC"/>
    <w:rsid w:val="00DC4E3A"/>
    <w:rsid w:val="00DC5BCA"/>
    <w:rsid w:val="00E074E8"/>
    <w:rsid w:val="00E10D23"/>
    <w:rsid w:val="00E125FC"/>
    <w:rsid w:val="00E16CFB"/>
    <w:rsid w:val="00E172DC"/>
    <w:rsid w:val="00E21D2B"/>
    <w:rsid w:val="00E2567B"/>
    <w:rsid w:val="00E306DD"/>
    <w:rsid w:val="00E32070"/>
    <w:rsid w:val="00E33290"/>
    <w:rsid w:val="00E33851"/>
    <w:rsid w:val="00E358AB"/>
    <w:rsid w:val="00E43E1E"/>
    <w:rsid w:val="00E56C26"/>
    <w:rsid w:val="00E57A6E"/>
    <w:rsid w:val="00E71246"/>
    <w:rsid w:val="00E71826"/>
    <w:rsid w:val="00E9188F"/>
    <w:rsid w:val="00EA27D5"/>
    <w:rsid w:val="00EC164E"/>
    <w:rsid w:val="00EE48AA"/>
    <w:rsid w:val="00EF29BF"/>
    <w:rsid w:val="00EF4BFC"/>
    <w:rsid w:val="00F04943"/>
    <w:rsid w:val="00F139A5"/>
    <w:rsid w:val="00F34F7F"/>
    <w:rsid w:val="00F61906"/>
    <w:rsid w:val="00F62191"/>
    <w:rsid w:val="00F67305"/>
    <w:rsid w:val="00F7049C"/>
    <w:rsid w:val="00F95DA0"/>
    <w:rsid w:val="00FA125A"/>
    <w:rsid w:val="00FA472F"/>
    <w:rsid w:val="00FA67E7"/>
    <w:rsid w:val="00FA7C05"/>
    <w:rsid w:val="00FA7F53"/>
    <w:rsid w:val="00FB20C2"/>
    <w:rsid w:val="00FB4AFE"/>
    <w:rsid w:val="00FC2F18"/>
    <w:rsid w:val="00FC69AD"/>
    <w:rsid w:val="00FC70F3"/>
    <w:rsid w:val="00FD4764"/>
    <w:rsid w:val="00FD54AC"/>
    <w:rsid w:val="00FE32F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C2"/>
  </w:style>
  <w:style w:type="paragraph" w:styleId="Ttulo2">
    <w:name w:val="heading 2"/>
    <w:basedOn w:val="Normal"/>
    <w:link w:val="Ttulo2Car"/>
    <w:uiPriority w:val="9"/>
    <w:qFormat/>
    <w:rsid w:val="00C75911"/>
    <w:pPr>
      <w:spacing w:after="0" w:line="240" w:lineRule="auto"/>
      <w:outlineLvl w:val="1"/>
    </w:pPr>
    <w:rPr>
      <w:rFonts w:ascii="Times New Roman" w:eastAsia="Times New Roman" w:hAnsi="Times New Roman" w:cs="Times New Roman"/>
      <w:b/>
      <w:bCs/>
      <w:color w:val="E95200"/>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45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45EF"/>
  </w:style>
  <w:style w:type="paragraph" w:styleId="Piedepgina">
    <w:name w:val="footer"/>
    <w:basedOn w:val="Normal"/>
    <w:link w:val="PiedepginaCar"/>
    <w:uiPriority w:val="99"/>
    <w:semiHidden/>
    <w:unhideWhenUsed/>
    <w:rsid w:val="00874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745EF"/>
  </w:style>
  <w:style w:type="paragraph" w:styleId="Sinespaciado">
    <w:name w:val="No Spacing"/>
    <w:uiPriority w:val="1"/>
    <w:qFormat/>
    <w:rsid w:val="00753B14"/>
    <w:pPr>
      <w:spacing w:after="0" w:line="240" w:lineRule="auto"/>
    </w:pPr>
  </w:style>
  <w:style w:type="paragraph" w:customStyle="1" w:styleId="Default">
    <w:name w:val="Default"/>
    <w:link w:val="DefaultChar"/>
    <w:rsid w:val="00753B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Fuentedeprrafopredeter"/>
    <w:link w:val="Default"/>
    <w:locked/>
    <w:rsid w:val="00753B14"/>
    <w:rPr>
      <w:rFonts w:ascii="Times New Roman" w:hAnsi="Times New Roman" w:cs="Times New Roman"/>
      <w:color w:val="000000"/>
      <w:sz w:val="24"/>
      <w:szCs w:val="24"/>
    </w:rPr>
  </w:style>
  <w:style w:type="paragraph" w:styleId="Textoindependiente">
    <w:name w:val="Body Text"/>
    <w:basedOn w:val="Normal"/>
    <w:link w:val="TextoindependienteCar"/>
    <w:rsid w:val="004D2551"/>
    <w:pPr>
      <w:spacing w:after="0" w:line="240" w:lineRule="auto"/>
    </w:pPr>
    <w:rPr>
      <w:rFonts w:ascii="Times New Roman" w:eastAsia="Times New Roman" w:hAnsi="Times New Roman" w:cs="Times New Roman"/>
      <w:bCs/>
      <w:i/>
      <w:iCs/>
      <w:sz w:val="24"/>
      <w:szCs w:val="24"/>
      <w:lang w:val="en-GB"/>
    </w:rPr>
  </w:style>
  <w:style w:type="character" w:customStyle="1" w:styleId="TextoindependienteCar">
    <w:name w:val="Texto independiente Car"/>
    <w:basedOn w:val="Fuentedeprrafopredeter"/>
    <w:link w:val="Textoindependiente"/>
    <w:rsid w:val="004D2551"/>
    <w:rPr>
      <w:rFonts w:ascii="Times New Roman" w:eastAsia="Times New Roman" w:hAnsi="Times New Roman" w:cs="Times New Roman"/>
      <w:bCs/>
      <w:i/>
      <w:iCs/>
      <w:sz w:val="24"/>
      <w:szCs w:val="24"/>
      <w:lang w:val="en-GB"/>
    </w:rPr>
  </w:style>
  <w:style w:type="paragraph" w:styleId="Listaconvietas">
    <w:name w:val="List Bullet"/>
    <w:aliases w:val="List Bullet Char1,List Bullet Char Char,List Bullet Char3,List Bullet Char2 Char1,List Bullet Char Char1 Char1,List Bullet Char Char3,List Bullet Char,List Bullet Char2,List Bullet Char Char1 Char Char"/>
    <w:basedOn w:val="Textoindependiente"/>
    <w:rsid w:val="004D2551"/>
    <w:pPr>
      <w:tabs>
        <w:tab w:val="num" w:pos="360"/>
      </w:tabs>
      <w:spacing w:before="60" w:after="60"/>
      <w:ind w:left="360" w:hanging="360"/>
    </w:pPr>
    <w:rPr>
      <w:rFonts w:ascii="Arial" w:hAnsi="Arial" w:cs="Arial"/>
      <w:bCs w:val="0"/>
      <w:i w:val="0"/>
      <w:iCs w:val="0"/>
      <w:sz w:val="22"/>
      <w:szCs w:val="20"/>
      <w:lang w:val="en-US"/>
    </w:rPr>
  </w:style>
  <w:style w:type="paragraph" w:styleId="Textodeglobo">
    <w:name w:val="Balloon Text"/>
    <w:basedOn w:val="Normal"/>
    <w:link w:val="TextodegloboCar"/>
    <w:uiPriority w:val="99"/>
    <w:semiHidden/>
    <w:unhideWhenUsed/>
    <w:rsid w:val="006B7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B1B"/>
    <w:rPr>
      <w:rFonts w:ascii="Tahoma" w:hAnsi="Tahoma" w:cs="Tahoma"/>
      <w:sz w:val="16"/>
      <w:szCs w:val="16"/>
    </w:rPr>
  </w:style>
  <w:style w:type="character" w:styleId="Hipervnculo">
    <w:name w:val="Hyperlink"/>
    <w:basedOn w:val="Fuentedeprrafopredeter"/>
    <w:uiPriority w:val="99"/>
    <w:unhideWhenUsed/>
    <w:rsid w:val="00E21D2B"/>
    <w:rPr>
      <w:color w:val="0000FF" w:themeColor="hyperlink"/>
      <w:u w:val="single"/>
    </w:rPr>
  </w:style>
  <w:style w:type="paragraph" w:styleId="Prrafodelista">
    <w:name w:val="List Paragraph"/>
    <w:basedOn w:val="Normal"/>
    <w:uiPriority w:val="34"/>
    <w:qFormat/>
    <w:rsid w:val="00020AFE"/>
    <w:pPr>
      <w:ind w:left="720"/>
      <w:contextualSpacing/>
    </w:pPr>
  </w:style>
  <w:style w:type="character" w:customStyle="1" w:styleId="Ttulo2Car">
    <w:name w:val="Título 2 Car"/>
    <w:basedOn w:val="Fuentedeprrafopredeter"/>
    <w:link w:val="Ttulo2"/>
    <w:uiPriority w:val="9"/>
    <w:rsid w:val="00C75911"/>
    <w:rPr>
      <w:rFonts w:ascii="Times New Roman" w:eastAsia="Times New Roman" w:hAnsi="Times New Roman" w:cs="Times New Roman"/>
      <w:b/>
      <w:bCs/>
      <w:color w:val="E95200"/>
      <w:sz w:val="24"/>
      <w:szCs w:val="24"/>
      <w:lang w:eastAsia="es-CL"/>
    </w:rPr>
  </w:style>
  <w:style w:type="paragraph" w:styleId="NormalWeb">
    <w:name w:val="Normal (Web)"/>
    <w:basedOn w:val="Normal"/>
    <w:uiPriority w:val="99"/>
    <w:unhideWhenUsed/>
    <w:rsid w:val="00C7591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75911"/>
    <w:rPr>
      <w:b/>
      <w:bCs/>
    </w:rPr>
  </w:style>
  <w:style w:type="paragraph" w:styleId="Textonotapie">
    <w:name w:val="footnote text"/>
    <w:basedOn w:val="Normal"/>
    <w:link w:val="TextonotapieCar"/>
    <w:uiPriority w:val="99"/>
    <w:semiHidden/>
    <w:unhideWhenUsed/>
    <w:rsid w:val="009909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098B"/>
    <w:rPr>
      <w:sz w:val="20"/>
      <w:szCs w:val="20"/>
    </w:rPr>
  </w:style>
  <w:style w:type="character" w:styleId="Refdenotaalpie">
    <w:name w:val="footnote reference"/>
    <w:basedOn w:val="Fuentedeprrafopredeter"/>
    <w:uiPriority w:val="99"/>
    <w:semiHidden/>
    <w:unhideWhenUsed/>
    <w:rsid w:val="0099098B"/>
    <w:rPr>
      <w:vertAlign w:val="superscript"/>
    </w:rPr>
  </w:style>
  <w:style w:type="paragraph" w:customStyle="1" w:styleId="Sinespaciado1">
    <w:name w:val="Sin espaciado1"/>
    <w:qFormat/>
    <w:rsid w:val="00E9188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4103410">
      <w:bodyDiv w:val="1"/>
      <w:marLeft w:val="0"/>
      <w:marRight w:val="0"/>
      <w:marTop w:val="0"/>
      <w:marBottom w:val="0"/>
      <w:divBdr>
        <w:top w:val="none" w:sz="0" w:space="0" w:color="auto"/>
        <w:left w:val="none" w:sz="0" w:space="0" w:color="auto"/>
        <w:bottom w:val="none" w:sz="0" w:space="0" w:color="auto"/>
        <w:right w:val="none" w:sz="0" w:space="0" w:color="auto"/>
      </w:divBdr>
    </w:div>
    <w:div w:id="487333749">
      <w:bodyDiv w:val="1"/>
      <w:marLeft w:val="0"/>
      <w:marRight w:val="0"/>
      <w:marTop w:val="0"/>
      <w:marBottom w:val="0"/>
      <w:divBdr>
        <w:top w:val="none" w:sz="0" w:space="0" w:color="auto"/>
        <w:left w:val="none" w:sz="0" w:space="0" w:color="auto"/>
        <w:bottom w:val="none" w:sz="0" w:space="0" w:color="auto"/>
        <w:right w:val="none" w:sz="0" w:space="0" w:color="auto"/>
      </w:divBdr>
    </w:div>
    <w:div w:id="509679176">
      <w:bodyDiv w:val="1"/>
      <w:marLeft w:val="0"/>
      <w:marRight w:val="0"/>
      <w:marTop w:val="0"/>
      <w:marBottom w:val="0"/>
      <w:divBdr>
        <w:top w:val="none" w:sz="0" w:space="0" w:color="auto"/>
        <w:left w:val="none" w:sz="0" w:space="0" w:color="auto"/>
        <w:bottom w:val="none" w:sz="0" w:space="0" w:color="auto"/>
        <w:right w:val="none" w:sz="0" w:space="0" w:color="auto"/>
      </w:divBdr>
    </w:div>
    <w:div w:id="512186054">
      <w:bodyDiv w:val="1"/>
      <w:marLeft w:val="0"/>
      <w:marRight w:val="0"/>
      <w:marTop w:val="0"/>
      <w:marBottom w:val="0"/>
      <w:divBdr>
        <w:top w:val="none" w:sz="0" w:space="0" w:color="auto"/>
        <w:left w:val="none" w:sz="0" w:space="0" w:color="auto"/>
        <w:bottom w:val="none" w:sz="0" w:space="0" w:color="auto"/>
        <w:right w:val="none" w:sz="0" w:space="0" w:color="auto"/>
      </w:divBdr>
      <w:divsChild>
        <w:div w:id="921379766">
          <w:marLeft w:val="0"/>
          <w:marRight w:val="0"/>
          <w:marTop w:val="0"/>
          <w:marBottom w:val="0"/>
          <w:divBdr>
            <w:top w:val="none" w:sz="0" w:space="0" w:color="auto"/>
            <w:left w:val="none" w:sz="0" w:space="0" w:color="auto"/>
            <w:bottom w:val="none" w:sz="0" w:space="0" w:color="auto"/>
            <w:right w:val="none" w:sz="0" w:space="0" w:color="auto"/>
          </w:divBdr>
        </w:div>
      </w:divsChild>
    </w:div>
    <w:div w:id="1071849437">
      <w:bodyDiv w:val="1"/>
      <w:marLeft w:val="0"/>
      <w:marRight w:val="0"/>
      <w:marTop w:val="0"/>
      <w:marBottom w:val="0"/>
      <w:divBdr>
        <w:top w:val="none" w:sz="0" w:space="0" w:color="auto"/>
        <w:left w:val="none" w:sz="0" w:space="0" w:color="auto"/>
        <w:bottom w:val="none" w:sz="0" w:space="0" w:color="auto"/>
        <w:right w:val="none" w:sz="0" w:space="0" w:color="auto"/>
      </w:divBdr>
    </w:div>
    <w:div w:id="11073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203AB-6893-4EA7-9E23-4F46107A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OACNUD</dc:creator>
  <cp:lastModifiedBy>Ohchr08</cp:lastModifiedBy>
  <cp:revision>10</cp:revision>
  <cp:lastPrinted>2012-06-20T21:59:00Z</cp:lastPrinted>
  <dcterms:created xsi:type="dcterms:W3CDTF">2012-06-20T21:43:00Z</dcterms:created>
  <dcterms:modified xsi:type="dcterms:W3CDTF">2012-07-17T16:02:00Z</dcterms:modified>
</cp:coreProperties>
</file>