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40" w:rsidRDefault="00922540" w:rsidP="00922540">
      <w:pPr>
        <w:spacing w:line="100" w:lineRule="atLeast"/>
        <w:rPr>
          <w:rFonts w:eastAsia="Calibri" w:cs="Calibri"/>
          <w:b/>
          <w:sz w:val="48"/>
          <w:lang w:val="pt-BR"/>
        </w:rPr>
      </w:pPr>
      <w:r>
        <w:rPr>
          <w:rFonts w:eastAsia="Calibri" w:cs="Calibri"/>
          <w:b/>
          <w:sz w:val="48"/>
          <w:lang w:val="pt-BR"/>
        </w:rPr>
        <w:t>Mecanismos Nacionais de Prevenção da Tortura</w:t>
      </w:r>
    </w:p>
    <w:p w:rsidR="00922540" w:rsidRDefault="00922540" w:rsidP="00922540">
      <w:pPr>
        <w:spacing w:line="100" w:lineRule="atLeast"/>
        <w:rPr>
          <w:rFonts w:eastAsia="Calibri" w:cs="Calibri"/>
          <w:b/>
          <w:sz w:val="26"/>
          <w:lang w:val="pt-BR"/>
        </w:rPr>
      </w:pPr>
    </w:p>
    <w:p w:rsidR="00922540" w:rsidRDefault="00922540" w:rsidP="00922540">
      <w:pPr>
        <w:spacing w:line="100" w:lineRule="atLeast"/>
        <w:rPr>
          <w:rFonts w:eastAsia="Calibri" w:cs="Calibri"/>
          <w:sz w:val="26"/>
          <w:lang w:val="pt-BR"/>
        </w:rPr>
      </w:pPr>
      <w:r>
        <w:rPr>
          <w:rFonts w:eastAsia="Calibri" w:cs="Calibri"/>
          <w:sz w:val="26"/>
          <w:lang w:val="pt-BR"/>
        </w:rPr>
        <w:t>Nações Unidas</w:t>
      </w:r>
    </w:p>
    <w:p w:rsidR="00922540" w:rsidRDefault="00922540" w:rsidP="00922540">
      <w:pPr>
        <w:spacing w:line="100" w:lineRule="atLeast"/>
        <w:rPr>
          <w:rFonts w:eastAsia="Calibri" w:cs="Calibri"/>
          <w:sz w:val="26"/>
          <w:lang w:val="pt-BR"/>
        </w:rPr>
      </w:pPr>
      <w:r>
        <w:rPr>
          <w:rFonts w:eastAsia="Calibri" w:cs="Calibri"/>
          <w:sz w:val="26"/>
          <w:lang w:val="pt-BR"/>
        </w:rPr>
        <w:t>Direitos Humanos</w:t>
      </w:r>
    </w:p>
    <w:p w:rsidR="00922540" w:rsidRDefault="00922540" w:rsidP="00922540">
      <w:pPr>
        <w:spacing w:line="100" w:lineRule="atLeast"/>
        <w:rPr>
          <w:rFonts w:eastAsia="Calibri" w:cs="Calibri"/>
          <w:b/>
          <w:color w:val="FF0000"/>
          <w:sz w:val="26"/>
          <w:lang w:val="pt-BR"/>
        </w:rPr>
      </w:pPr>
    </w:p>
    <w:p w:rsidR="00922540" w:rsidRPr="00922540" w:rsidRDefault="00922540" w:rsidP="00922540">
      <w:pPr>
        <w:spacing w:line="100" w:lineRule="atLeast"/>
        <w:rPr>
          <w:rFonts w:eastAsia="Calibri" w:cs="Calibri"/>
          <w:b/>
          <w:sz w:val="32"/>
          <w:szCs w:val="32"/>
          <w:lang w:val="pt-BR"/>
        </w:rPr>
      </w:pPr>
      <w:r w:rsidRPr="00922540">
        <w:rPr>
          <w:rFonts w:eastAsia="Calibri" w:cs="Calibri"/>
          <w:b/>
          <w:sz w:val="32"/>
          <w:szCs w:val="32"/>
          <w:lang w:val="pt-BR"/>
        </w:rPr>
        <w:t>O que são os Mecanismos Nacionais de Prevenção (MNP)?</w:t>
      </w:r>
    </w:p>
    <w:p w:rsidR="00922540" w:rsidRDefault="00922540" w:rsidP="00915C99">
      <w:pPr>
        <w:spacing w:line="100" w:lineRule="atLeast"/>
        <w:jc w:val="both"/>
        <w:rPr>
          <w:rFonts w:eastAsia="Calibri" w:cs="Calibri"/>
          <w:sz w:val="26"/>
          <w:lang w:val="pt-BR"/>
        </w:rPr>
      </w:pPr>
    </w:p>
    <w:p w:rsidR="00922540" w:rsidRDefault="00922540" w:rsidP="00915C99">
      <w:pPr>
        <w:spacing w:line="100" w:lineRule="atLeast"/>
        <w:jc w:val="both"/>
        <w:rPr>
          <w:rFonts w:eastAsia="Calibri" w:cs="Calibri"/>
          <w:sz w:val="26"/>
          <w:lang w:val="pt-BR"/>
        </w:rPr>
      </w:pPr>
      <w:r>
        <w:rPr>
          <w:rFonts w:eastAsia="Calibri" w:cs="Calibri"/>
          <w:sz w:val="26"/>
          <w:lang w:val="pt-BR"/>
        </w:rPr>
        <w:t>Os MNP são órgãos independentes para a prevenção d</w:t>
      </w:r>
      <w:r w:rsidR="00BD1BF7">
        <w:rPr>
          <w:rFonts w:eastAsia="Calibri" w:cs="Calibri"/>
          <w:sz w:val="26"/>
          <w:lang w:val="pt-BR"/>
        </w:rPr>
        <w:t>e</w:t>
      </w:r>
      <w:r>
        <w:rPr>
          <w:rFonts w:eastAsia="Calibri" w:cs="Calibri"/>
          <w:sz w:val="26"/>
          <w:lang w:val="pt-BR"/>
        </w:rPr>
        <w:t xml:space="preserve"> tortura e </w:t>
      </w:r>
      <w:proofErr w:type="spellStart"/>
      <w:r>
        <w:rPr>
          <w:rFonts w:eastAsia="Calibri" w:cs="Calibri"/>
          <w:sz w:val="26"/>
          <w:lang w:val="pt-BR"/>
        </w:rPr>
        <w:t>maustratos</w:t>
      </w:r>
      <w:proofErr w:type="spellEnd"/>
      <w:r>
        <w:rPr>
          <w:rFonts w:eastAsia="Calibri" w:cs="Calibri"/>
          <w:sz w:val="26"/>
          <w:lang w:val="pt-BR"/>
        </w:rPr>
        <w:t xml:space="preserve"> em nível nacional. Conforme o Protocolo Facultativo da Convenção contra a Tortura e outros tratamentos ou penas cruéis, desumanos ou degradantes (OPCAT), cada Estado Parte deve criar, manter ou nomear um ou vários MNP, no mais tardar um ano depois da entrada em vigor do Protocolo no Estado em questão.</w:t>
      </w:r>
    </w:p>
    <w:p w:rsidR="00922540" w:rsidRDefault="00922540" w:rsidP="00915C99">
      <w:pPr>
        <w:spacing w:line="100" w:lineRule="atLeast"/>
        <w:jc w:val="both"/>
        <w:rPr>
          <w:rFonts w:eastAsia="Calibri" w:cs="Calibri"/>
          <w:sz w:val="26"/>
          <w:lang w:val="pt-BR"/>
        </w:rPr>
      </w:pPr>
    </w:p>
    <w:p w:rsidR="00922540" w:rsidRDefault="00922540" w:rsidP="00915C99">
      <w:pPr>
        <w:spacing w:line="100" w:lineRule="atLeast"/>
        <w:jc w:val="both"/>
        <w:rPr>
          <w:rFonts w:eastAsia="Calibri" w:cs="Calibri"/>
          <w:b/>
          <w:sz w:val="26"/>
          <w:lang w:val="pt-BR"/>
        </w:rPr>
      </w:pPr>
      <w:r>
        <w:rPr>
          <w:rFonts w:eastAsia="Calibri" w:cs="Calibri"/>
          <w:b/>
          <w:sz w:val="26"/>
          <w:lang w:val="pt-BR"/>
        </w:rPr>
        <w:t>Importância dos MNP</w:t>
      </w:r>
    </w:p>
    <w:p w:rsidR="00922540" w:rsidRDefault="00922540" w:rsidP="00915C99">
      <w:pPr>
        <w:spacing w:line="100" w:lineRule="atLeast"/>
        <w:jc w:val="both"/>
        <w:rPr>
          <w:rFonts w:eastAsia="Calibri" w:cs="Calibri"/>
          <w:sz w:val="26"/>
          <w:lang w:val="pt-BR"/>
        </w:rPr>
      </w:pPr>
    </w:p>
    <w:p w:rsidR="00922540" w:rsidRDefault="00922540" w:rsidP="00915C99">
      <w:pPr>
        <w:spacing w:line="100" w:lineRule="atLeast"/>
        <w:jc w:val="both"/>
        <w:rPr>
          <w:rFonts w:eastAsia="Calibri" w:cs="Calibri"/>
          <w:sz w:val="26"/>
          <w:lang w:val="pt-BR"/>
        </w:rPr>
      </w:pPr>
      <w:r>
        <w:rPr>
          <w:rFonts w:eastAsia="Calibri" w:cs="Calibri"/>
          <w:sz w:val="26"/>
          <w:lang w:val="pt-BR"/>
        </w:rPr>
        <w:t xml:space="preserve">A tortura e outros tratamentos cruéis, desumanos ou degradantes são proibidos e constituem graves violações dos direitos humanos. Os Artigos </w:t>
      </w:r>
      <w:proofErr w:type="gramStart"/>
      <w:r>
        <w:rPr>
          <w:rFonts w:eastAsia="Calibri" w:cs="Calibri"/>
          <w:sz w:val="26"/>
          <w:lang w:val="pt-BR"/>
        </w:rPr>
        <w:t>2</w:t>
      </w:r>
      <w:proofErr w:type="gramEnd"/>
      <w:r>
        <w:rPr>
          <w:rFonts w:eastAsia="Calibri" w:cs="Calibri"/>
          <w:sz w:val="26"/>
          <w:lang w:val="pt-BR"/>
        </w:rPr>
        <w:t xml:space="preserve"> e 16 da Convenção contra a Tortura exigem a cada Estado Parte tomar medidas efetivas para prevenir atos de tortura e outros tratamentos cruéis, desumanos ou degradantes em qualquer território sob sua jurisdição.</w:t>
      </w:r>
    </w:p>
    <w:p w:rsidR="00922540" w:rsidRDefault="00922540" w:rsidP="00915C99">
      <w:pPr>
        <w:spacing w:line="100" w:lineRule="atLeast"/>
        <w:jc w:val="both"/>
        <w:rPr>
          <w:rFonts w:eastAsia="Calibri" w:cs="Calibri"/>
          <w:sz w:val="26"/>
          <w:lang w:val="pt-BR"/>
        </w:rPr>
      </w:pPr>
    </w:p>
    <w:p w:rsidR="00922540" w:rsidRDefault="00922540" w:rsidP="00915C99">
      <w:pPr>
        <w:spacing w:line="100" w:lineRule="atLeast"/>
        <w:jc w:val="both"/>
        <w:rPr>
          <w:rFonts w:eastAsia="Calibri" w:cs="Calibri"/>
          <w:sz w:val="26"/>
          <w:lang w:val="pt-BR"/>
        </w:rPr>
      </w:pPr>
      <w:r>
        <w:rPr>
          <w:rFonts w:eastAsia="Calibri" w:cs="Calibri"/>
          <w:sz w:val="26"/>
          <w:lang w:val="pt-BR"/>
        </w:rPr>
        <w:t>O OPCAT foi adotado pela Assembleia Geral das Nações Unidas em 2002 e entrou em vigor após ser ratificado por 20 Estados em 22 de junho de 2006. O Protocolo consagra a criação de um sistema de visitas regulares aos centros de privação de liberdade por parte de dois mecanismos:</w:t>
      </w:r>
    </w:p>
    <w:p w:rsidR="00922540" w:rsidRDefault="00922540" w:rsidP="00915C99">
      <w:pPr>
        <w:spacing w:line="100" w:lineRule="atLeast"/>
        <w:jc w:val="both"/>
        <w:rPr>
          <w:rFonts w:eastAsia="Calibri" w:cs="Calibri"/>
          <w:sz w:val="26"/>
          <w:lang w:val="pt-BR"/>
        </w:rPr>
      </w:pPr>
    </w:p>
    <w:p w:rsidR="00922540" w:rsidRDefault="00922540" w:rsidP="00915C99">
      <w:pPr>
        <w:spacing w:line="100" w:lineRule="atLeast"/>
        <w:jc w:val="both"/>
        <w:rPr>
          <w:rFonts w:eastAsia="Calibri" w:cs="Calibri"/>
          <w:sz w:val="26"/>
          <w:lang w:val="pt-BR"/>
        </w:rPr>
      </w:pPr>
      <w:r>
        <w:rPr>
          <w:rFonts w:eastAsia="Calibri" w:cs="Calibri"/>
          <w:sz w:val="26"/>
          <w:lang w:val="pt-BR"/>
        </w:rPr>
        <w:t>1- os Mecanismos Nacionais de Prevenção (</w:t>
      </w:r>
      <w:r>
        <w:rPr>
          <w:rFonts w:eastAsia="Calibri" w:cs="Calibri"/>
          <w:b/>
          <w:sz w:val="26"/>
          <w:lang w:val="pt-BR"/>
        </w:rPr>
        <w:t>MNP</w:t>
      </w:r>
      <w:r>
        <w:rPr>
          <w:rFonts w:eastAsia="Calibri" w:cs="Calibri"/>
          <w:sz w:val="26"/>
          <w:lang w:val="pt-BR"/>
        </w:rPr>
        <w:t xml:space="preserve">), com o objetivo de fazer recomendações para melhorar o tratamento e as condições das pessoas privadas de liberdade no país. </w:t>
      </w:r>
    </w:p>
    <w:p w:rsidR="00922540" w:rsidRDefault="00922540" w:rsidP="00915C99">
      <w:pPr>
        <w:spacing w:line="100" w:lineRule="atLeast"/>
        <w:jc w:val="both"/>
        <w:rPr>
          <w:rFonts w:eastAsia="Calibri" w:cs="Calibri"/>
          <w:sz w:val="26"/>
          <w:lang w:val="pt-BR"/>
        </w:rPr>
      </w:pPr>
    </w:p>
    <w:p w:rsidR="00922540" w:rsidRPr="00922540" w:rsidRDefault="00922540" w:rsidP="00915C99">
      <w:pPr>
        <w:spacing w:line="100" w:lineRule="atLeast"/>
        <w:jc w:val="both"/>
        <w:rPr>
          <w:rFonts w:eastAsia="Calibri" w:cs="Calibri"/>
          <w:sz w:val="26"/>
          <w:lang w:val="pt-BR"/>
        </w:rPr>
      </w:pPr>
      <w:r>
        <w:rPr>
          <w:rFonts w:eastAsia="Calibri" w:cs="Calibri"/>
          <w:sz w:val="26"/>
          <w:lang w:val="pt-BR"/>
        </w:rPr>
        <w:t>2- o Subcomitê das Nações Unidas para a Prevenção da Tortura (</w:t>
      </w:r>
      <w:r>
        <w:rPr>
          <w:rFonts w:eastAsia="Calibri" w:cs="Calibri"/>
          <w:b/>
          <w:sz w:val="26"/>
          <w:lang w:val="pt-BR"/>
        </w:rPr>
        <w:t>SPT</w:t>
      </w:r>
      <w:r>
        <w:rPr>
          <w:rFonts w:eastAsia="Calibri" w:cs="Calibri"/>
          <w:sz w:val="26"/>
          <w:lang w:val="pt-BR"/>
        </w:rPr>
        <w:t>), formado por 25 especialistas internacionais que visitam periodicamente vários lugares onde há pessoas privadas de liberdade em todo o mundo.</w:t>
      </w:r>
    </w:p>
    <w:p w:rsidR="00922540" w:rsidRDefault="00922540" w:rsidP="00915C99">
      <w:pPr>
        <w:spacing w:line="100" w:lineRule="atLeast"/>
        <w:jc w:val="both"/>
        <w:rPr>
          <w:rFonts w:eastAsia="Calibri" w:cs="Calibri"/>
          <w:sz w:val="26"/>
          <w:lang w:val="pt-BR"/>
        </w:rPr>
      </w:pPr>
    </w:p>
    <w:p w:rsidR="00922540" w:rsidRPr="00922540" w:rsidRDefault="00922540" w:rsidP="00915C99">
      <w:pPr>
        <w:spacing w:line="100" w:lineRule="atLeast"/>
        <w:jc w:val="both"/>
        <w:rPr>
          <w:rFonts w:eastAsia="Calibri" w:cs="Calibri"/>
          <w:b/>
          <w:sz w:val="32"/>
          <w:szCs w:val="32"/>
          <w:lang w:val="pt-BR"/>
        </w:rPr>
      </w:pPr>
      <w:r w:rsidRPr="00922540">
        <w:rPr>
          <w:rFonts w:eastAsia="Calibri" w:cs="Calibri"/>
          <w:b/>
          <w:sz w:val="32"/>
          <w:szCs w:val="32"/>
          <w:lang w:val="pt-BR"/>
        </w:rPr>
        <w:t xml:space="preserve">Funções </w:t>
      </w:r>
    </w:p>
    <w:p w:rsidR="00922540" w:rsidRDefault="00922540" w:rsidP="00915C99">
      <w:pPr>
        <w:spacing w:line="100" w:lineRule="atLeast"/>
        <w:jc w:val="both"/>
        <w:rPr>
          <w:rFonts w:eastAsia="Calibri" w:cs="Calibri"/>
          <w:sz w:val="26"/>
          <w:lang w:val="pt-BR"/>
        </w:rPr>
      </w:pPr>
    </w:p>
    <w:p w:rsidR="00922540" w:rsidRDefault="00922540" w:rsidP="00915C99">
      <w:pPr>
        <w:spacing w:line="100" w:lineRule="atLeast"/>
        <w:jc w:val="both"/>
        <w:rPr>
          <w:rFonts w:eastAsia="Calibri" w:cs="Calibri"/>
          <w:sz w:val="26"/>
          <w:lang w:val="pt-BR"/>
        </w:rPr>
      </w:pPr>
      <w:r>
        <w:rPr>
          <w:rFonts w:eastAsia="Calibri" w:cs="Calibri"/>
          <w:sz w:val="26"/>
          <w:lang w:val="pt-BR"/>
        </w:rPr>
        <w:t>Com o objetivo de p</w:t>
      </w:r>
      <w:r w:rsidR="00BD1BF7">
        <w:rPr>
          <w:rFonts w:eastAsia="Calibri" w:cs="Calibri"/>
          <w:sz w:val="26"/>
          <w:lang w:val="pt-BR"/>
        </w:rPr>
        <w:t xml:space="preserve">revenir a tortura e outros </w:t>
      </w:r>
      <w:proofErr w:type="spellStart"/>
      <w:r w:rsidR="00BD1BF7">
        <w:rPr>
          <w:rFonts w:eastAsia="Calibri" w:cs="Calibri"/>
          <w:sz w:val="26"/>
          <w:lang w:val="pt-BR"/>
        </w:rPr>
        <w:t>maus</w:t>
      </w:r>
      <w:r>
        <w:rPr>
          <w:rFonts w:eastAsia="Calibri" w:cs="Calibri"/>
          <w:sz w:val="26"/>
          <w:lang w:val="pt-BR"/>
        </w:rPr>
        <w:t>tratos</w:t>
      </w:r>
      <w:proofErr w:type="spellEnd"/>
      <w:r>
        <w:rPr>
          <w:rFonts w:eastAsia="Calibri" w:cs="Calibri"/>
          <w:sz w:val="26"/>
          <w:lang w:val="pt-BR"/>
        </w:rPr>
        <w:t xml:space="preserve">, os MNP visitam periodicamente delegacias, prisões (militares e civis), centros de detenção (por exemplo, centros de detenção de imigrantes ou de detenção juvenil, etc.), centros de saúde mental e assistência social, e qualquer outro lugar onde as pessoas são privadas de sua liberdade e que não podem sair por ordem da autoridade pública. </w:t>
      </w:r>
    </w:p>
    <w:p w:rsidR="00922540" w:rsidRDefault="00922540" w:rsidP="00915C99">
      <w:pPr>
        <w:spacing w:line="100" w:lineRule="atLeast"/>
        <w:jc w:val="both"/>
        <w:rPr>
          <w:rFonts w:eastAsia="Calibri" w:cs="Calibri"/>
          <w:sz w:val="26"/>
          <w:lang w:val="pt-BR"/>
        </w:rPr>
      </w:pPr>
    </w:p>
    <w:p w:rsidR="00922540" w:rsidRDefault="00922540" w:rsidP="00915C99">
      <w:pPr>
        <w:spacing w:line="100" w:lineRule="atLeast"/>
        <w:jc w:val="both"/>
        <w:rPr>
          <w:rFonts w:eastAsia="Calibri" w:cs="Calibri"/>
          <w:sz w:val="26"/>
          <w:lang w:val="pt-BR"/>
        </w:rPr>
      </w:pPr>
      <w:r>
        <w:rPr>
          <w:rFonts w:eastAsia="Calibri" w:cs="Calibri"/>
          <w:sz w:val="26"/>
          <w:lang w:val="pt-BR"/>
        </w:rPr>
        <w:t xml:space="preserve">Os MNP formulam recomendações às autoridades competentes para melhorar as condições de detenção e o tratamento para essas pessoas. Além disso, elaboram sugestões sobre a legislação ou projetos de lei existentes no assunto. </w:t>
      </w:r>
    </w:p>
    <w:p w:rsidR="00922540" w:rsidRDefault="00922540" w:rsidP="00915C99">
      <w:pPr>
        <w:spacing w:line="100" w:lineRule="atLeast"/>
        <w:jc w:val="both"/>
        <w:rPr>
          <w:rFonts w:eastAsia="Calibri" w:cs="Calibri"/>
          <w:sz w:val="26"/>
          <w:lang w:val="pt-BR"/>
        </w:rPr>
      </w:pPr>
    </w:p>
    <w:p w:rsidR="00922540" w:rsidRPr="00922540" w:rsidRDefault="00922540" w:rsidP="00915C99">
      <w:pPr>
        <w:spacing w:line="100" w:lineRule="atLeast"/>
        <w:jc w:val="both"/>
        <w:rPr>
          <w:rFonts w:eastAsia="Calibri" w:cs="Calibri"/>
          <w:b/>
          <w:sz w:val="32"/>
          <w:szCs w:val="32"/>
          <w:lang w:val="pt-BR"/>
        </w:rPr>
      </w:pPr>
      <w:r w:rsidRPr="00922540">
        <w:rPr>
          <w:rFonts w:eastAsia="Calibri" w:cs="Calibri"/>
          <w:b/>
          <w:sz w:val="32"/>
          <w:szCs w:val="32"/>
          <w:lang w:val="pt-BR"/>
        </w:rPr>
        <w:t xml:space="preserve">Requisitos </w:t>
      </w:r>
    </w:p>
    <w:p w:rsidR="00922540" w:rsidRDefault="00922540" w:rsidP="00915C99">
      <w:pPr>
        <w:spacing w:line="100" w:lineRule="atLeast"/>
        <w:jc w:val="both"/>
        <w:rPr>
          <w:rFonts w:eastAsia="Calibri" w:cs="Calibri"/>
          <w:sz w:val="26"/>
          <w:lang w:val="pt-BR"/>
        </w:rPr>
      </w:pPr>
    </w:p>
    <w:p w:rsidR="00922540" w:rsidRDefault="00922540" w:rsidP="00915C99">
      <w:pPr>
        <w:spacing w:line="100" w:lineRule="atLeast"/>
        <w:jc w:val="both"/>
        <w:rPr>
          <w:rFonts w:eastAsia="Calibri" w:cs="Calibri"/>
          <w:sz w:val="26"/>
          <w:lang w:val="pt-BR"/>
        </w:rPr>
      </w:pPr>
      <w:r>
        <w:rPr>
          <w:rFonts w:eastAsia="Calibri" w:cs="Calibri"/>
          <w:sz w:val="26"/>
          <w:lang w:val="pt-BR"/>
        </w:rPr>
        <w:t xml:space="preserve">Os requisitos dos MNP vêm definidos no próprio OPCAT e nas Diretrizes referentes aos MNP (CAT/OP/12/5). Também, os Princípios de Paris são o marco de referência para o estabelecimento dos MNP. Aprovados pela Assembleia Geral das Nações Unidas em 20 de dezembro de 1993, os Princípios de Paris representam uma fonte de padrões internacionais para a criação e funcionamento tanto das Instituições Nacionais de Direitos Humanos, quanto para os MNP. Detalham suas competências e responsabilidades, composição, garantias de independência e seus métodos de operação. </w:t>
      </w:r>
    </w:p>
    <w:p w:rsidR="00922540" w:rsidRDefault="00922540" w:rsidP="00915C99">
      <w:pPr>
        <w:spacing w:line="100" w:lineRule="atLeast"/>
        <w:jc w:val="both"/>
        <w:rPr>
          <w:rFonts w:eastAsia="Calibri" w:cs="Calibri"/>
          <w:sz w:val="26"/>
          <w:lang w:val="pt-BR"/>
        </w:rPr>
      </w:pPr>
    </w:p>
    <w:p w:rsidR="00922540" w:rsidRDefault="00922540" w:rsidP="00915C99">
      <w:pPr>
        <w:spacing w:line="100" w:lineRule="atLeast"/>
        <w:jc w:val="both"/>
        <w:rPr>
          <w:rFonts w:eastAsia="Calibri" w:cs="Calibri"/>
          <w:b/>
          <w:sz w:val="26"/>
          <w:lang w:val="pt-BR"/>
        </w:rPr>
      </w:pPr>
      <w:r>
        <w:rPr>
          <w:rFonts w:eastAsia="Calibri" w:cs="Calibri"/>
          <w:b/>
          <w:sz w:val="26"/>
          <w:lang w:val="pt-BR"/>
        </w:rPr>
        <w:t>Autonomia e independência</w:t>
      </w:r>
      <w:r w:rsidR="00BD1BF7">
        <w:rPr>
          <w:rFonts w:eastAsia="Calibri" w:cs="Calibri"/>
          <w:b/>
          <w:sz w:val="26"/>
          <w:lang w:val="pt-BR"/>
        </w:rPr>
        <w:t>:</w:t>
      </w:r>
    </w:p>
    <w:p w:rsidR="00922540" w:rsidRDefault="00922540" w:rsidP="00915C99">
      <w:pPr>
        <w:spacing w:line="100" w:lineRule="atLeast"/>
        <w:jc w:val="both"/>
        <w:rPr>
          <w:rFonts w:eastAsia="Calibri" w:cs="Calibri"/>
          <w:sz w:val="26"/>
          <w:lang w:val="pt-BR"/>
        </w:rPr>
      </w:pPr>
      <w:r>
        <w:rPr>
          <w:rFonts w:eastAsia="Calibri" w:cs="Calibri"/>
          <w:sz w:val="26"/>
          <w:lang w:val="pt-BR"/>
        </w:rPr>
        <w:t>Os MNP não dependem da autoridade dos poderes executivo, legislativo ou judiciário. Eles fiscalizam o Estado de maneira imparcial, para garantir o cumprimento de sua obrigação de prevenir a tortura. Os Estados devem assegurar a independência funcional dos MNP, a dos funcionários e os recursos necessários para o seu funcionamento.  Além do mais, os MNP devem ter as prerrogativas e imunidades para executar independentemente o seu mandato. O Estado deveria se abster de nomear membros que ocupam cargos que possam gerar conflitos de interesse.</w:t>
      </w:r>
    </w:p>
    <w:p w:rsidR="00922540" w:rsidRDefault="00922540" w:rsidP="00915C99">
      <w:pPr>
        <w:spacing w:line="100" w:lineRule="atLeast"/>
        <w:jc w:val="both"/>
        <w:rPr>
          <w:rFonts w:eastAsia="Calibri" w:cs="Calibri"/>
          <w:sz w:val="26"/>
          <w:lang w:val="pt-BR"/>
        </w:rPr>
      </w:pPr>
    </w:p>
    <w:p w:rsidR="00922540" w:rsidRDefault="00922540" w:rsidP="00915C99">
      <w:pPr>
        <w:spacing w:line="100" w:lineRule="atLeast"/>
        <w:jc w:val="both"/>
        <w:rPr>
          <w:rFonts w:eastAsia="Calibri" w:cs="Calibri"/>
          <w:sz w:val="26"/>
          <w:lang w:val="pt-BR"/>
        </w:rPr>
      </w:pPr>
      <w:r>
        <w:rPr>
          <w:rFonts w:eastAsia="Calibri" w:cs="Calibri"/>
          <w:b/>
          <w:sz w:val="26"/>
          <w:lang w:val="pt-BR"/>
        </w:rPr>
        <w:t xml:space="preserve">Profissionalismo: </w:t>
      </w:r>
    </w:p>
    <w:p w:rsidR="00922540" w:rsidRDefault="00922540" w:rsidP="00915C99">
      <w:pPr>
        <w:spacing w:line="100" w:lineRule="atLeast"/>
        <w:jc w:val="both"/>
        <w:rPr>
          <w:rFonts w:eastAsia="Calibri" w:cs="Calibri"/>
          <w:sz w:val="26"/>
          <w:lang w:val="pt-BR"/>
        </w:rPr>
      </w:pPr>
      <w:r>
        <w:rPr>
          <w:rFonts w:eastAsia="Calibri" w:cs="Calibri"/>
          <w:sz w:val="26"/>
          <w:lang w:val="pt-BR"/>
        </w:rPr>
        <w:t xml:space="preserve">Os membros dos MNP devem ter as capacidades e conhecimentos profissionais necessários que garantam coletivamente a eficiência do seu funcionamento. Para eles, é importante considerar, entre outras coisas, conhecimentos especializados pertinentes no âmbito jurídico e de atendimento de saúde. </w:t>
      </w:r>
    </w:p>
    <w:p w:rsidR="00922540" w:rsidRDefault="00922540" w:rsidP="00915C99">
      <w:pPr>
        <w:spacing w:line="100" w:lineRule="atLeast"/>
        <w:jc w:val="both"/>
        <w:rPr>
          <w:rFonts w:eastAsia="Calibri" w:cs="Calibri"/>
          <w:sz w:val="26"/>
          <w:lang w:val="pt-BR"/>
        </w:rPr>
      </w:pPr>
    </w:p>
    <w:p w:rsidR="00922540" w:rsidRPr="00BD1BF7" w:rsidRDefault="00922540" w:rsidP="00915C99">
      <w:pPr>
        <w:spacing w:line="100" w:lineRule="atLeast"/>
        <w:jc w:val="both"/>
        <w:rPr>
          <w:rFonts w:eastAsia="Calibri" w:cs="Calibri"/>
          <w:b/>
          <w:sz w:val="26"/>
          <w:lang w:val="pt-BR"/>
        </w:rPr>
      </w:pPr>
      <w:r>
        <w:rPr>
          <w:rFonts w:eastAsia="Calibri" w:cs="Calibri"/>
          <w:b/>
          <w:sz w:val="26"/>
          <w:lang w:val="pt-BR"/>
        </w:rPr>
        <w:t xml:space="preserve">Diversidade: </w:t>
      </w:r>
    </w:p>
    <w:p w:rsidR="00922540" w:rsidRDefault="00922540" w:rsidP="00915C99">
      <w:pPr>
        <w:spacing w:line="100" w:lineRule="atLeast"/>
        <w:jc w:val="both"/>
        <w:rPr>
          <w:rFonts w:eastAsia="Calibri" w:cs="Calibri"/>
          <w:sz w:val="26"/>
          <w:lang w:val="pt-BR"/>
        </w:rPr>
      </w:pPr>
      <w:r>
        <w:rPr>
          <w:rFonts w:eastAsia="Calibri" w:cs="Calibri"/>
          <w:sz w:val="26"/>
          <w:lang w:val="pt-BR"/>
        </w:rPr>
        <w:t xml:space="preserve">Será levado em conta o equilíbrio de gênero e a adequada representação dos grupos étnicos e minorias no país. </w:t>
      </w:r>
    </w:p>
    <w:p w:rsidR="00922540" w:rsidRDefault="00922540" w:rsidP="00915C99">
      <w:pPr>
        <w:spacing w:line="100" w:lineRule="atLeast"/>
        <w:jc w:val="both"/>
        <w:rPr>
          <w:rFonts w:eastAsia="Calibri" w:cs="Calibri"/>
          <w:sz w:val="26"/>
          <w:lang w:val="pt-BR"/>
        </w:rPr>
      </w:pPr>
    </w:p>
    <w:p w:rsidR="00922540" w:rsidRDefault="00922540" w:rsidP="00915C99">
      <w:pPr>
        <w:spacing w:line="100" w:lineRule="atLeast"/>
        <w:jc w:val="both"/>
        <w:rPr>
          <w:rFonts w:eastAsia="Calibri" w:cs="Calibri"/>
          <w:b/>
          <w:sz w:val="26"/>
          <w:lang w:val="pt-BR"/>
        </w:rPr>
      </w:pPr>
      <w:r>
        <w:rPr>
          <w:rFonts w:eastAsia="Calibri" w:cs="Calibri"/>
          <w:b/>
          <w:sz w:val="26"/>
          <w:lang w:val="pt-BR"/>
        </w:rPr>
        <w:t xml:space="preserve">Legalidade: </w:t>
      </w:r>
    </w:p>
    <w:p w:rsidR="00922540" w:rsidRDefault="00922540" w:rsidP="00915C99">
      <w:pPr>
        <w:spacing w:line="100" w:lineRule="atLeast"/>
        <w:jc w:val="both"/>
        <w:rPr>
          <w:rFonts w:eastAsia="Calibri" w:cs="Calibri"/>
          <w:sz w:val="26"/>
          <w:lang w:val="pt-BR"/>
        </w:rPr>
      </w:pPr>
      <w:r>
        <w:rPr>
          <w:rFonts w:eastAsia="Calibri" w:cs="Calibri"/>
          <w:sz w:val="26"/>
          <w:lang w:val="pt-BR"/>
        </w:rPr>
        <w:t xml:space="preserve">É conveniente que o mandato e as faculdades dos MNP sejam anunciados claramente, na forma de textos constitucionais ou legislativos. </w:t>
      </w:r>
    </w:p>
    <w:p w:rsidR="00922540" w:rsidRDefault="00922540" w:rsidP="00915C99">
      <w:pPr>
        <w:spacing w:line="100" w:lineRule="atLeast"/>
        <w:jc w:val="both"/>
        <w:rPr>
          <w:rFonts w:eastAsia="Calibri" w:cs="Calibri"/>
          <w:sz w:val="26"/>
          <w:lang w:val="pt-BR"/>
        </w:rPr>
      </w:pPr>
    </w:p>
    <w:p w:rsidR="00922540" w:rsidRDefault="00922540" w:rsidP="00915C99">
      <w:pPr>
        <w:spacing w:line="100" w:lineRule="atLeast"/>
        <w:jc w:val="both"/>
        <w:rPr>
          <w:rFonts w:eastAsia="Calibri" w:cs="Calibri"/>
          <w:b/>
          <w:sz w:val="26"/>
          <w:lang w:val="pt-BR"/>
        </w:rPr>
      </w:pPr>
      <w:r>
        <w:rPr>
          <w:rFonts w:eastAsia="Calibri" w:cs="Calibri"/>
          <w:b/>
          <w:sz w:val="26"/>
          <w:lang w:val="pt-BR"/>
        </w:rPr>
        <w:t xml:space="preserve">Complementaridade: </w:t>
      </w:r>
    </w:p>
    <w:p w:rsidR="00922540" w:rsidRDefault="00922540" w:rsidP="00915C99">
      <w:pPr>
        <w:spacing w:line="100" w:lineRule="atLeast"/>
        <w:jc w:val="both"/>
        <w:rPr>
          <w:rFonts w:eastAsia="Calibri" w:cs="Calibri"/>
          <w:sz w:val="26"/>
          <w:lang w:val="pt-BR"/>
        </w:rPr>
      </w:pPr>
      <w:r>
        <w:rPr>
          <w:rFonts w:eastAsia="Calibri" w:cs="Calibri"/>
          <w:sz w:val="26"/>
          <w:lang w:val="pt-BR"/>
        </w:rPr>
        <w:t>Os MNP devem ser um complemento e não um substitutivo dos sistemas de supervisão existentes. Por isso, o seu estabelecimento não deve impedir a criação ou funcionamento de outros sistemas complementares.</w:t>
      </w:r>
    </w:p>
    <w:p w:rsidR="00922540" w:rsidRDefault="00922540" w:rsidP="00915C99">
      <w:pPr>
        <w:spacing w:line="100" w:lineRule="atLeast"/>
        <w:jc w:val="both"/>
        <w:rPr>
          <w:rFonts w:eastAsia="Calibri" w:cs="Calibri"/>
          <w:sz w:val="26"/>
          <w:lang w:val="pt-BR"/>
        </w:rPr>
      </w:pPr>
    </w:p>
    <w:p w:rsidR="00922540" w:rsidRPr="00BD1BF7" w:rsidRDefault="00922540" w:rsidP="00915C99">
      <w:pPr>
        <w:spacing w:line="100" w:lineRule="atLeast"/>
        <w:jc w:val="both"/>
        <w:rPr>
          <w:rFonts w:eastAsia="Calibri" w:cs="Calibri"/>
          <w:b/>
          <w:sz w:val="26"/>
          <w:lang w:val="pt-BR"/>
        </w:rPr>
      </w:pPr>
      <w:r>
        <w:rPr>
          <w:rFonts w:eastAsia="Calibri" w:cs="Calibri"/>
          <w:b/>
          <w:sz w:val="26"/>
          <w:lang w:val="pt-BR"/>
        </w:rPr>
        <w:t>Transparência e representatividade:</w:t>
      </w:r>
    </w:p>
    <w:p w:rsidR="00922540" w:rsidRDefault="00922540" w:rsidP="00915C99">
      <w:pPr>
        <w:spacing w:line="100" w:lineRule="atLeast"/>
        <w:jc w:val="both"/>
        <w:rPr>
          <w:rFonts w:eastAsia="Calibri" w:cs="Calibri"/>
          <w:sz w:val="26"/>
          <w:lang w:val="pt-BR"/>
        </w:rPr>
      </w:pPr>
      <w:r>
        <w:rPr>
          <w:rFonts w:eastAsia="Calibri" w:cs="Calibri"/>
          <w:sz w:val="26"/>
          <w:lang w:val="pt-BR"/>
        </w:rPr>
        <w:t xml:space="preserve">Os MNP devem ser criados em processos públicos, transparentes e inclusivos, onde participe um grupo amplamente representativo das partes interessadas, principalmente a sociedade civil. Esse tipo de processo também deve ser usado na seleção e nominação dos membros do MNP, cujos critérios deveriam ser públicos.   </w:t>
      </w:r>
    </w:p>
    <w:p w:rsidR="00ED3F0B" w:rsidRPr="00922540" w:rsidRDefault="00922540" w:rsidP="00915C99">
      <w:pPr>
        <w:spacing w:line="100" w:lineRule="atLeast"/>
        <w:jc w:val="both"/>
        <w:rPr>
          <w:rFonts w:eastAsia="Calibri" w:cs="Calibri"/>
          <w:sz w:val="26"/>
          <w:lang w:val="pt-BR"/>
        </w:rPr>
      </w:pPr>
      <w:r>
        <w:rPr>
          <w:rFonts w:eastAsia="Calibri" w:cs="Calibri"/>
          <w:sz w:val="26"/>
          <w:lang w:val="pt-BR"/>
        </w:rPr>
        <w:t xml:space="preserve"> </w:t>
      </w:r>
    </w:p>
    <w:p w:rsidR="00C21C53" w:rsidRPr="00922540" w:rsidRDefault="001F705B" w:rsidP="00915C99">
      <w:pPr>
        <w:spacing w:line="100" w:lineRule="atLeast"/>
        <w:jc w:val="both"/>
        <w:rPr>
          <w:rFonts w:eastAsia="Calibri" w:cs="Calibri"/>
          <w:b/>
          <w:sz w:val="32"/>
          <w:szCs w:val="32"/>
          <w:lang w:val="pt-BR"/>
        </w:rPr>
      </w:pPr>
      <w:r w:rsidRPr="00922540">
        <w:rPr>
          <w:rFonts w:eastAsia="Calibri" w:cs="Calibri"/>
          <w:b/>
          <w:sz w:val="32"/>
          <w:szCs w:val="32"/>
          <w:lang w:val="pt-BR"/>
        </w:rPr>
        <w:lastRenderedPageBreak/>
        <w:t>Responsabilidades dos Estados</w:t>
      </w:r>
    </w:p>
    <w:p w:rsidR="00C21C53" w:rsidRDefault="00C21C53" w:rsidP="00915C99">
      <w:pPr>
        <w:spacing w:line="100" w:lineRule="atLeast"/>
        <w:jc w:val="both"/>
        <w:rPr>
          <w:rFonts w:eastAsia="Calibri" w:cs="Calibri"/>
          <w:sz w:val="26"/>
          <w:lang w:val="pt-BR"/>
        </w:rPr>
      </w:pPr>
    </w:p>
    <w:p w:rsidR="00C21C53" w:rsidRDefault="001F705B" w:rsidP="00915C99">
      <w:pPr>
        <w:spacing w:line="100" w:lineRule="atLeast"/>
        <w:jc w:val="both"/>
        <w:rPr>
          <w:rFonts w:eastAsia="Calibri" w:cs="Calibri"/>
          <w:sz w:val="26"/>
          <w:lang w:val="pt-BR"/>
        </w:rPr>
      </w:pPr>
      <w:r>
        <w:rPr>
          <w:rFonts w:eastAsia="Calibri" w:cs="Calibri"/>
          <w:sz w:val="26"/>
          <w:lang w:val="pt-BR"/>
        </w:rPr>
        <w:t>Os Estados devem examinar as recomendações feitas pelos MNP e dialogar com estes mecanismos para determinar as possíveis medidas a serem aplicadas. Além disso, devem publicar e divulgar relatórios anuais dos MNP.</w:t>
      </w:r>
    </w:p>
    <w:p w:rsidR="00C21C53" w:rsidRDefault="00C21C53" w:rsidP="00915C99">
      <w:pPr>
        <w:spacing w:line="100" w:lineRule="atLeast"/>
        <w:jc w:val="both"/>
        <w:rPr>
          <w:rFonts w:eastAsia="Calibri" w:cs="Calibri"/>
          <w:sz w:val="26"/>
          <w:lang w:val="pt-BR"/>
        </w:rPr>
      </w:pPr>
    </w:p>
    <w:p w:rsidR="00C21C53" w:rsidRDefault="001F705B" w:rsidP="00915C99">
      <w:pPr>
        <w:spacing w:line="100" w:lineRule="atLeast"/>
        <w:jc w:val="both"/>
        <w:rPr>
          <w:rFonts w:eastAsia="Calibri" w:cs="Calibri"/>
          <w:sz w:val="26"/>
          <w:lang w:val="pt-BR"/>
        </w:rPr>
      </w:pPr>
      <w:r>
        <w:rPr>
          <w:rFonts w:eastAsia="Calibri" w:cs="Calibri"/>
          <w:sz w:val="26"/>
          <w:lang w:val="pt-BR"/>
        </w:rPr>
        <w:t>Para garantir o correto desempenho das funções dos MNP, os Estados estão obrigados a facilitar o acesso desses mecanismos aos centros de privação de liberdade e a toda a informação sobre o número de pessoas privadas de liberdade, assim como o tratamento recebido.</w:t>
      </w:r>
    </w:p>
    <w:p w:rsidR="00C21C53" w:rsidRDefault="00C21C53" w:rsidP="00915C99">
      <w:pPr>
        <w:spacing w:line="100" w:lineRule="atLeast"/>
        <w:jc w:val="both"/>
        <w:rPr>
          <w:rFonts w:eastAsia="Calibri" w:cs="Calibri"/>
          <w:sz w:val="26"/>
          <w:lang w:val="pt-BR"/>
        </w:rPr>
      </w:pPr>
    </w:p>
    <w:p w:rsidR="00C21C53" w:rsidRDefault="001F705B" w:rsidP="00915C99">
      <w:pPr>
        <w:spacing w:line="100" w:lineRule="atLeast"/>
        <w:jc w:val="both"/>
        <w:rPr>
          <w:rFonts w:eastAsia="Calibri" w:cs="Calibri"/>
          <w:sz w:val="26"/>
          <w:lang w:val="pt-BR"/>
        </w:rPr>
      </w:pPr>
      <w:r>
        <w:rPr>
          <w:rFonts w:eastAsia="Calibri" w:cs="Calibri"/>
          <w:sz w:val="26"/>
          <w:lang w:val="pt-BR"/>
        </w:rPr>
        <w:t xml:space="preserve">Devem permitir que os mecanismos </w:t>
      </w:r>
      <w:proofErr w:type="gramStart"/>
      <w:r>
        <w:rPr>
          <w:rFonts w:eastAsia="Calibri" w:cs="Calibri"/>
          <w:sz w:val="26"/>
          <w:lang w:val="pt-BR"/>
        </w:rPr>
        <w:t>escolham</w:t>
      </w:r>
      <w:proofErr w:type="gramEnd"/>
      <w:r>
        <w:rPr>
          <w:rFonts w:eastAsia="Calibri" w:cs="Calibri"/>
          <w:sz w:val="26"/>
          <w:lang w:val="pt-BR"/>
        </w:rPr>
        <w:t xml:space="preserve"> os lugares que desejam visitar, que façam entrevistas confidenciais com as pessoas privadas de liberdade e que mantenham contato com o SPT.</w:t>
      </w:r>
    </w:p>
    <w:p w:rsidR="00C21C53" w:rsidRDefault="00C21C53" w:rsidP="00915C99">
      <w:pPr>
        <w:spacing w:line="100" w:lineRule="atLeast"/>
        <w:jc w:val="both"/>
        <w:rPr>
          <w:rFonts w:eastAsia="Calibri" w:cs="Calibri"/>
          <w:sz w:val="26"/>
          <w:lang w:val="pt-BR"/>
        </w:rPr>
      </w:pPr>
    </w:p>
    <w:p w:rsidR="00C21C53" w:rsidRDefault="001F705B" w:rsidP="00915C99">
      <w:pPr>
        <w:spacing w:line="100" w:lineRule="atLeast"/>
        <w:jc w:val="both"/>
        <w:rPr>
          <w:rFonts w:eastAsia="Calibri" w:cs="Calibri"/>
          <w:sz w:val="26"/>
          <w:lang w:val="pt-BR"/>
        </w:rPr>
      </w:pPr>
      <w:r>
        <w:rPr>
          <w:rFonts w:eastAsia="Calibri" w:cs="Calibri"/>
          <w:sz w:val="26"/>
          <w:lang w:val="pt-BR"/>
        </w:rPr>
        <w:t xml:space="preserve">Os Estados também têm a responsabilidade de garantir que indivíduos ou organizações não serão punidos ou penalizados por terem se comunicado com o MNP. </w:t>
      </w:r>
    </w:p>
    <w:p w:rsidR="00C21C53" w:rsidRDefault="00C21C53" w:rsidP="00915C99">
      <w:pPr>
        <w:spacing w:line="100" w:lineRule="atLeast"/>
        <w:jc w:val="both"/>
        <w:rPr>
          <w:rFonts w:eastAsia="Calibri" w:cs="Calibri"/>
          <w:sz w:val="26"/>
          <w:lang w:val="pt-BR"/>
        </w:rPr>
      </w:pPr>
    </w:p>
    <w:p w:rsidR="00C21C53" w:rsidRDefault="001F705B" w:rsidP="00915C99">
      <w:pPr>
        <w:spacing w:line="100" w:lineRule="atLeast"/>
        <w:jc w:val="both"/>
        <w:rPr>
          <w:rFonts w:eastAsia="Calibri" w:cs="Calibri"/>
          <w:sz w:val="26"/>
          <w:lang w:val="pt-BR"/>
        </w:rPr>
      </w:pPr>
      <w:r>
        <w:rPr>
          <w:rFonts w:eastAsia="Calibri" w:cs="Calibri"/>
          <w:sz w:val="26"/>
          <w:lang w:val="pt-BR"/>
        </w:rPr>
        <w:t>A informação recolhida por estes mecanismos é confidencial. Ao receber relatórios do MNP, o Estado também deve proteger a privacidade destes e não enviar informações pessoais ou confidenciais.</w:t>
      </w:r>
    </w:p>
    <w:p w:rsidR="00C21C53" w:rsidRDefault="00C21C53" w:rsidP="00915C99">
      <w:pPr>
        <w:spacing w:line="100" w:lineRule="atLeast"/>
        <w:jc w:val="both"/>
        <w:rPr>
          <w:rFonts w:eastAsia="Calibri" w:cs="Calibri"/>
          <w:b/>
          <w:color w:val="FF0000"/>
          <w:sz w:val="26"/>
          <w:lang w:val="pt-BR"/>
        </w:rPr>
      </w:pPr>
    </w:p>
    <w:p w:rsidR="00C21C53" w:rsidRPr="00922540" w:rsidRDefault="001F705B" w:rsidP="00915C99">
      <w:pPr>
        <w:spacing w:line="100" w:lineRule="atLeast"/>
        <w:jc w:val="both"/>
        <w:rPr>
          <w:rFonts w:eastAsia="Calibri" w:cs="Calibri"/>
          <w:b/>
          <w:sz w:val="32"/>
          <w:szCs w:val="32"/>
          <w:lang w:val="pt-BR"/>
        </w:rPr>
      </w:pPr>
      <w:proofErr w:type="spellStart"/>
      <w:r w:rsidRPr="00922540">
        <w:rPr>
          <w:rFonts w:eastAsia="Calibri" w:cs="Calibri"/>
          <w:b/>
          <w:sz w:val="32"/>
          <w:szCs w:val="32"/>
          <w:lang w:val="pt-BR"/>
        </w:rPr>
        <w:t>MNPs</w:t>
      </w:r>
      <w:proofErr w:type="spellEnd"/>
      <w:r w:rsidRPr="00922540">
        <w:rPr>
          <w:rFonts w:eastAsia="Calibri" w:cs="Calibri"/>
          <w:b/>
          <w:sz w:val="32"/>
          <w:szCs w:val="32"/>
          <w:lang w:val="pt-BR"/>
        </w:rPr>
        <w:t xml:space="preserve"> na América do Sul</w:t>
      </w:r>
    </w:p>
    <w:p w:rsidR="00C21C53" w:rsidRDefault="00C21C53" w:rsidP="00915C99">
      <w:pPr>
        <w:spacing w:line="100" w:lineRule="atLeast"/>
        <w:jc w:val="both"/>
        <w:rPr>
          <w:rFonts w:eastAsia="Calibri" w:cs="Calibri"/>
          <w:b/>
          <w:sz w:val="26"/>
          <w:lang w:val="pt-BR"/>
        </w:rPr>
      </w:pPr>
    </w:p>
    <w:p w:rsidR="00C21C53" w:rsidRDefault="001F705B" w:rsidP="00915C99">
      <w:pPr>
        <w:spacing w:line="100" w:lineRule="atLeast"/>
        <w:jc w:val="both"/>
        <w:rPr>
          <w:rFonts w:eastAsia="Calibri" w:cs="Calibri"/>
          <w:sz w:val="26"/>
          <w:lang w:val="pt-BR"/>
        </w:rPr>
      </w:pPr>
      <w:r>
        <w:rPr>
          <w:rFonts w:eastAsia="Calibri" w:cs="Calibri"/>
          <w:sz w:val="26"/>
          <w:lang w:val="pt-BR"/>
        </w:rPr>
        <w:t xml:space="preserve">A maioria dos países da região estão trabalhando em vários estágios de criação de um MNP, a fim de efetivamente </w:t>
      </w:r>
      <w:proofErr w:type="gramStart"/>
      <w:r>
        <w:rPr>
          <w:rFonts w:eastAsia="Calibri" w:cs="Calibri"/>
          <w:sz w:val="26"/>
          <w:lang w:val="pt-BR"/>
        </w:rPr>
        <w:t>implementar</w:t>
      </w:r>
      <w:proofErr w:type="gramEnd"/>
      <w:r>
        <w:rPr>
          <w:rFonts w:eastAsia="Calibri" w:cs="Calibri"/>
          <w:sz w:val="26"/>
          <w:lang w:val="pt-BR"/>
        </w:rPr>
        <w:t xml:space="preserve"> o Protocolo Facultativo. O Escritório</w:t>
      </w:r>
      <w:r w:rsidR="00915C99">
        <w:rPr>
          <w:rFonts w:eastAsia="Calibri" w:cs="Calibri"/>
          <w:sz w:val="26"/>
          <w:lang w:val="pt-BR"/>
        </w:rPr>
        <w:t xml:space="preserve"> Regional para América do Sul do</w:t>
      </w:r>
      <w:r>
        <w:rPr>
          <w:rFonts w:eastAsia="Calibri" w:cs="Calibri"/>
          <w:sz w:val="26"/>
          <w:lang w:val="pt-BR"/>
        </w:rPr>
        <w:t xml:space="preserve"> ACNUDH apoia e promove a criação destes mecanismos em todos os países sob sua cobertura.</w:t>
      </w:r>
    </w:p>
    <w:p w:rsidR="00C21C53" w:rsidRDefault="00C21C53" w:rsidP="00915C99">
      <w:pPr>
        <w:spacing w:line="100" w:lineRule="atLeast"/>
        <w:jc w:val="both"/>
        <w:rPr>
          <w:rFonts w:eastAsia="Calibri" w:cs="Calibri"/>
          <w:b/>
          <w:sz w:val="26"/>
          <w:lang w:val="pt-BR"/>
        </w:rPr>
      </w:pPr>
    </w:p>
    <w:p w:rsidR="00C21C53" w:rsidRDefault="001F705B" w:rsidP="00915C99">
      <w:pPr>
        <w:spacing w:line="100" w:lineRule="atLeast"/>
        <w:jc w:val="both"/>
        <w:rPr>
          <w:rFonts w:eastAsia="Calibri" w:cs="Calibri"/>
          <w:b/>
          <w:sz w:val="26"/>
          <w:lang w:val="pt-BR"/>
        </w:rPr>
      </w:pPr>
      <w:r>
        <w:rPr>
          <w:rFonts w:eastAsia="Calibri" w:cs="Calibri"/>
          <w:b/>
          <w:sz w:val="26"/>
          <w:lang w:val="pt-BR"/>
        </w:rPr>
        <w:t>Estados Parte do OPCAT</w:t>
      </w:r>
    </w:p>
    <w:p w:rsidR="00C21C53" w:rsidRDefault="00C21C53" w:rsidP="00915C99">
      <w:pPr>
        <w:spacing w:line="100" w:lineRule="atLeast"/>
        <w:jc w:val="both"/>
        <w:rPr>
          <w:rFonts w:eastAsia="Calibri" w:cs="Calibri"/>
          <w:sz w:val="26"/>
          <w:lang w:val="pt-BR"/>
        </w:rPr>
      </w:pPr>
    </w:p>
    <w:p w:rsidR="00C21C53" w:rsidRDefault="001F705B" w:rsidP="00915C99">
      <w:pPr>
        <w:spacing w:line="100" w:lineRule="atLeast"/>
        <w:jc w:val="both"/>
        <w:rPr>
          <w:rFonts w:eastAsia="Calibri" w:cs="Calibri"/>
          <w:sz w:val="26"/>
          <w:lang w:val="pt-BR"/>
        </w:rPr>
      </w:pPr>
      <w:r>
        <w:rPr>
          <w:rFonts w:eastAsia="Calibri" w:cs="Calibri"/>
          <w:sz w:val="26"/>
          <w:lang w:val="pt-BR"/>
        </w:rPr>
        <w:t>Em março de 2012, o OPCAT foi assinado por 71 países e ratificado por 62. Na América do Sul, Argentina, Bolívia, Brasil, Chile, Paraguai, Peru e Uruguai são Estados Partes d</w:t>
      </w:r>
      <w:r w:rsidR="0052022B">
        <w:rPr>
          <w:rFonts w:eastAsia="Calibri" w:cs="Calibri"/>
          <w:sz w:val="26"/>
          <w:lang w:val="pt-BR"/>
        </w:rPr>
        <w:t>o instrumento e a Venezuela</w:t>
      </w:r>
      <w:r>
        <w:rPr>
          <w:rFonts w:eastAsia="Calibri" w:cs="Calibri"/>
          <w:sz w:val="26"/>
          <w:lang w:val="pt-BR"/>
        </w:rPr>
        <w:t xml:space="preserve"> o assinou em 2011.</w:t>
      </w:r>
    </w:p>
    <w:p w:rsidR="00C21C53" w:rsidRDefault="00C21C53">
      <w:pPr>
        <w:spacing w:line="100" w:lineRule="atLeast"/>
        <w:rPr>
          <w:rFonts w:eastAsia="Calibri" w:cs="Calibri"/>
          <w:b/>
          <w:color w:val="FF0000"/>
          <w:sz w:val="26"/>
          <w:lang w:val="pt-BR"/>
        </w:rPr>
      </w:pPr>
    </w:p>
    <w:p w:rsidR="00ED3F0B" w:rsidRPr="00DB72AD" w:rsidRDefault="00922540" w:rsidP="00ED3F0B">
      <w:pPr>
        <w:spacing w:line="100" w:lineRule="atLeast"/>
        <w:jc w:val="center"/>
        <w:rPr>
          <w:rFonts w:eastAsia="Calibri" w:cs="Calibri"/>
          <w:b/>
          <w:color w:val="FF0000"/>
          <w:sz w:val="26"/>
        </w:rPr>
      </w:pPr>
      <w:r>
        <w:rPr>
          <w:rFonts w:eastAsia="Calibri" w:cs="Calibri"/>
          <w:b/>
          <w:color w:val="FF0000"/>
          <w:sz w:val="26"/>
        </w:rPr>
        <w:t>Logo</w:t>
      </w:r>
    </w:p>
    <w:p w:rsidR="00ED3F0B" w:rsidRPr="00DB72AD" w:rsidRDefault="00ED3F0B">
      <w:pPr>
        <w:spacing w:line="100" w:lineRule="atLeast"/>
        <w:rPr>
          <w:rFonts w:eastAsia="Calibri" w:cs="Calibri"/>
          <w:b/>
          <w:color w:val="FF0000"/>
          <w:sz w:val="26"/>
        </w:rPr>
      </w:pPr>
    </w:p>
    <w:p w:rsidR="00C21C53" w:rsidRPr="00DB72AD" w:rsidRDefault="001F705B">
      <w:pPr>
        <w:spacing w:line="276" w:lineRule="auto"/>
        <w:jc w:val="center"/>
        <w:rPr>
          <w:rFonts w:ascii="Arial" w:eastAsia="Arial" w:hAnsi="Arial" w:cs="Arial"/>
          <w:b/>
          <w:color w:val="943634"/>
          <w:sz w:val="20"/>
        </w:rPr>
      </w:pPr>
      <w:r w:rsidRPr="00DB72AD">
        <w:rPr>
          <w:rFonts w:ascii="Arial" w:eastAsia="Arial" w:hAnsi="Arial" w:cs="Arial"/>
          <w:b/>
          <w:color w:val="943634"/>
          <w:sz w:val="20"/>
        </w:rPr>
        <w:t xml:space="preserve">Av. </w:t>
      </w:r>
      <w:proofErr w:type="spellStart"/>
      <w:r w:rsidRPr="00DB72AD">
        <w:rPr>
          <w:rFonts w:ascii="Arial" w:eastAsia="Arial" w:hAnsi="Arial" w:cs="Arial"/>
          <w:b/>
          <w:color w:val="943634"/>
          <w:sz w:val="20"/>
        </w:rPr>
        <w:t>Dag</w:t>
      </w:r>
      <w:proofErr w:type="spellEnd"/>
      <w:r w:rsidRPr="00DB72AD">
        <w:rPr>
          <w:rFonts w:ascii="Arial" w:eastAsia="Arial" w:hAnsi="Arial" w:cs="Arial"/>
          <w:b/>
          <w:color w:val="943634"/>
          <w:sz w:val="20"/>
        </w:rPr>
        <w:t xml:space="preserve"> </w:t>
      </w:r>
      <w:proofErr w:type="spellStart"/>
      <w:r w:rsidRPr="00DB72AD">
        <w:rPr>
          <w:rFonts w:ascii="Arial" w:eastAsia="Arial" w:hAnsi="Arial" w:cs="Arial"/>
          <w:b/>
          <w:color w:val="943634"/>
          <w:sz w:val="20"/>
        </w:rPr>
        <w:t>Hammarskj</w:t>
      </w:r>
      <w:proofErr w:type="spellEnd"/>
      <w:r>
        <w:rPr>
          <w:rFonts w:ascii="Arial" w:eastAsia="Arial" w:hAnsi="Arial" w:cs="Arial"/>
          <w:b/>
          <w:color w:val="943634"/>
          <w:sz w:val="20"/>
          <w:lang w:val="pt-BR"/>
        </w:rPr>
        <w:t>ӧ</w:t>
      </w:r>
      <w:proofErr w:type="spellStart"/>
      <w:r w:rsidRPr="00DB72AD">
        <w:rPr>
          <w:rFonts w:ascii="Arial" w:eastAsia="Arial" w:hAnsi="Arial" w:cs="Arial"/>
          <w:b/>
          <w:color w:val="943634"/>
          <w:sz w:val="20"/>
        </w:rPr>
        <w:t>ld</w:t>
      </w:r>
      <w:proofErr w:type="spellEnd"/>
      <w:r w:rsidRPr="00DB72AD">
        <w:rPr>
          <w:rFonts w:ascii="Arial" w:eastAsia="Arial" w:hAnsi="Arial" w:cs="Arial"/>
          <w:b/>
          <w:color w:val="943634"/>
          <w:sz w:val="20"/>
        </w:rPr>
        <w:t xml:space="preserve"> 3269, Vitacura, Santiago, CHILE</w:t>
      </w:r>
    </w:p>
    <w:p w:rsidR="00C21C53" w:rsidRPr="00DB72AD" w:rsidRDefault="001F705B">
      <w:pPr>
        <w:spacing w:line="100" w:lineRule="atLeast"/>
        <w:jc w:val="center"/>
        <w:rPr>
          <w:rFonts w:ascii="Arial" w:eastAsia="Arial" w:hAnsi="Arial" w:cs="Arial"/>
          <w:b/>
          <w:color w:val="943634"/>
          <w:sz w:val="20"/>
        </w:rPr>
      </w:pPr>
      <w:r w:rsidRPr="00DB72AD">
        <w:rPr>
          <w:rFonts w:ascii="Arial" w:eastAsia="Arial" w:hAnsi="Arial" w:cs="Arial"/>
          <w:b/>
          <w:color w:val="943634"/>
          <w:sz w:val="20"/>
        </w:rPr>
        <w:t>Tel: (56 2) 321-7750        ohchr-santiago</w:t>
      </w:r>
      <w:r w:rsidRPr="00DB72AD">
        <w:rPr>
          <w:rFonts w:eastAsia="Calibri" w:cs="Calibri"/>
          <w:color w:val="943634"/>
        </w:rPr>
        <w:t>@</w:t>
      </w:r>
      <w:r w:rsidRPr="00DB72AD">
        <w:rPr>
          <w:rFonts w:ascii="Arial" w:eastAsia="Arial" w:hAnsi="Arial" w:cs="Arial"/>
          <w:b/>
          <w:color w:val="943634"/>
          <w:sz w:val="20"/>
        </w:rPr>
        <w:t>ohchr.org</w:t>
      </w:r>
    </w:p>
    <w:p w:rsidR="00C21C53" w:rsidRPr="00922540" w:rsidRDefault="00C21C53" w:rsidP="00922540">
      <w:pPr>
        <w:spacing w:line="100" w:lineRule="atLeast"/>
        <w:jc w:val="center"/>
        <w:rPr>
          <w:rFonts w:eastAsia="Calibri" w:cs="Calibri"/>
          <w:b/>
          <w:color w:val="FF0000"/>
          <w:sz w:val="26"/>
        </w:rPr>
      </w:pPr>
      <w:hyperlink r:id="rId4" w:history="1">
        <w:r w:rsidR="001F705B">
          <w:rPr>
            <w:rStyle w:val="Hipervnculo"/>
            <w:rFonts w:ascii="Arial" w:eastAsia="Arial" w:hAnsi="Arial"/>
          </w:rPr>
          <w:t>http://acnudh.org</w:t>
        </w:r>
      </w:hyperlink>
      <w:r w:rsidR="001F705B" w:rsidRPr="00DB72AD">
        <w:rPr>
          <w:rFonts w:ascii="Arial" w:eastAsia="Arial" w:hAnsi="Arial" w:cs="Arial"/>
          <w:b/>
          <w:color w:val="943634"/>
          <w:sz w:val="20"/>
        </w:rPr>
        <w:t xml:space="preserve">    </w:t>
      </w:r>
      <w:hyperlink r:id="rId5" w:history="1">
        <w:r w:rsidR="001F705B">
          <w:rPr>
            <w:rStyle w:val="Hipervnculo"/>
            <w:rFonts w:ascii="Arial" w:eastAsia="Arial" w:hAnsi="Arial"/>
          </w:rPr>
          <w:t>www.ohchr.org</w:t>
        </w:r>
      </w:hyperlink>
    </w:p>
    <w:sectPr w:rsidR="00C21C53" w:rsidRPr="00922540" w:rsidSect="00C21C53">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70C71"/>
    <w:rsid w:val="001F705B"/>
    <w:rsid w:val="0052022B"/>
    <w:rsid w:val="00770C71"/>
    <w:rsid w:val="00915C99"/>
    <w:rsid w:val="00922540"/>
    <w:rsid w:val="00925A16"/>
    <w:rsid w:val="00B86280"/>
    <w:rsid w:val="00BD1BF7"/>
    <w:rsid w:val="00C21C53"/>
    <w:rsid w:val="00DB72AD"/>
    <w:rsid w:val="00ED3F0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53"/>
    <w:pPr>
      <w:widowControl w:val="0"/>
      <w:suppressAutoHyphens/>
    </w:pPr>
    <w:rPr>
      <w:rFonts w:ascii="Calibri" w:hAnsi="Calibr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21C53"/>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hchr.org/" TargetMode="External"/><Relationship Id="rId4" Type="http://schemas.openxmlformats.org/officeDocument/2006/relationships/hyperlink" Target="http://acnudh.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Jross</dc:creator>
  <cp:lastModifiedBy>Jross</cp:lastModifiedBy>
  <cp:revision>2</cp:revision>
  <cp:lastPrinted>2012-03-26T21:11:00Z</cp:lastPrinted>
  <dcterms:created xsi:type="dcterms:W3CDTF">2012-04-09T13:44:00Z</dcterms:created>
  <dcterms:modified xsi:type="dcterms:W3CDTF">2012-04-09T13:44:00Z</dcterms:modified>
</cp:coreProperties>
</file>