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C5E70" w:rsidRDefault="004C5E70" w:rsidP="004C5E70">
      <w:pPr>
        <w:spacing w:line="240" w:lineRule="auto"/>
        <w:jc w:val="center"/>
        <w:rPr>
          <w:rFonts w:ascii="Verdana" w:hAnsi="Verdana"/>
          <w:b/>
          <w:color w:val="943634" w:themeColor="accent2" w:themeShade="BF"/>
          <w:sz w:val="54"/>
          <w:szCs w:val="54"/>
        </w:rPr>
      </w:pPr>
      <w:r w:rsidRPr="006A0277">
        <w:rPr>
          <w:rFonts w:ascii="Verdana" w:hAnsi="Verdana"/>
          <w:b/>
          <w:color w:val="943634" w:themeColor="accent2" w:themeShade="BF"/>
          <w:sz w:val="54"/>
          <w:szCs w:val="54"/>
        </w:rPr>
        <w:t xml:space="preserve">Mecanismos Nacionales de Prevención </w:t>
      </w:r>
      <w:r w:rsidRPr="006B2EE0">
        <w:rPr>
          <w:rFonts w:ascii="Verdana" w:hAnsi="Verdana"/>
          <w:b/>
          <w:color w:val="943634" w:themeColor="accent2" w:themeShade="BF"/>
          <w:sz w:val="54"/>
          <w:szCs w:val="54"/>
        </w:rPr>
        <w:t xml:space="preserve">de la Tortura </w:t>
      </w:r>
    </w:p>
    <w:p w:rsidR="004C5E70" w:rsidRPr="006A0277" w:rsidRDefault="004C5E70" w:rsidP="004C5E70">
      <w:pPr>
        <w:spacing w:line="240" w:lineRule="auto"/>
        <w:jc w:val="center"/>
        <w:rPr>
          <w:rFonts w:ascii="Verdana" w:hAnsi="Verdana"/>
          <w:b/>
          <w:color w:val="943634" w:themeColor="accent2" w:themeShade="BF"/>
          <w:sz w:val="24"/>
          <w:szCs w:val="24"/>
        </w:rPr>
      </w:pPr>
      <w:r w:rsidRPr="007C25C4">
        <w:rPr>
          <w:rFonts w:ascii="Verdana" w:hAnsi="Verdana"/>
          <w:b/>
          <w:bCs/>
          <w:noProof/>
          <w:color w:val="943634" w:themeColor="accent2" w:themeShade="BF"/>
          <w:sz w:val="32"/>
          <w:szCs w:val="32"/>
          <w:lang w:eastAsia="es-CL"/>
        </w:rPr>
        <w:drawing>
          <wp:inline distT="0" distB="0" distL="0" distR="0">
            <wp:extent cx="2302198" cy="1692116"/>
            <wp:effectExtent l="19050" t="0" r="2852" b="0"/>
            <wp:docPr id="1" name="0 Imagen" descr="Naciones Unidas Derechos Hum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iones Unidas Derechos Humano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936" cy="169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70" w:rsidRPr="00CE498A" w:rsidRDefault="004C5E70" w:rsidP="004C5E70">
      <w:pPr>
        <w:pStyle w:val="Sinespaciado"/>
        <w:ind w:right="-207"/>
        <w:rPr>
          <w:rFonts w:ascii="Arial" w:hAnsi="Arial" w:cs="Arial"/>
          <w:b/>
          <w:color w:val="FFFFFF" w:themeColor="background1"/>
          <w:sz w:val="34"/>
          <w:szCs w:val="34"/>
        </w:rPr>
      </w:pPr>
      <w:r w:rsidRPr="00CE498A">
        <w:rPr>
          <w:rFonts w:ascii="Arial" w:hAnsi="Arial" w:cs="Arial"/>
          <w:b/>
          <w:color w:val="FFFFFF" w:themeColor="background1"/>
          <w:sz w:val="36"/>
          <w:szCs w:val="36"/>
          <w:highlight w:val="darkRed"/>
        </w:rPr>
        <w:t>¿Qué son los Mecanismos</w:t>
      </w:r>
      <w:r w:rsidRPr="00CE498A">
        <w:rPr>
          <w:rFonts w:ascii="Arial" w:hAnsi="Arial" w:cs="Arial"/>
          <w:b/>
          <w:color w:val="FFFFFF" w:themeColor="background1"/>
          <w:sz w:val="34"/>
          <w:szCs w:val="34"/>
          <w:highlight w:val="darkRed"/>
        </w:rPr>
        <w:t xml:space="preserve"> Nacionales de Prevención (MNP)?</w:t>
      </w:r>
    </w:p>
    <w:p w:rsidR="004C5E70" w:rsidRPr="00E172DC" w:rsidRDefault="004C5E70" w:rsidP="004C5E70">
      <w:pPr>
        <w:pStyle w:val="Sinespaciado"/>
        <w:ind w:right="-207"/>
        <w:rPr>
          <w:rFonts w:ascii="Arial" w:hAnsi="Arial" w:cs="Arial"/>
          <w:b/>
          <w:color w:val="943634" w:themeColor="accent2" w:themeShade="BF"/>
        </w:rPr>
      </w:pPr>
    </w:p>
    <w:p w:rsidR="004C5E70" w:rsidRPr="00E172DC" w:rsidRDefault="004C5E70" w:rsidP="004C5E70">
      <w:pPr>
        <w:pStyle w:val="Sinespaciado"/>
        <w:spacing w:line="276" w:lineRule="auto"/>
        <w:ind w:right="-207"/>
        <w:jc w:val="both"/>
        <w:rPr>
          <w:rFonts w:ascii="Arial" w:hAnsi="Arial" w:cs="Arial"/>
          <w:color w:val="943634" w:themeColor="accent2" w:themeShade="BF"/>
        </w:rPr>
      </w:pPr>
      <w:r w:rsidRPr="00E172DC">
        <w:rPr>
          <w:rFonts w:ascii="Arial" w:hAnsi="Arial" w:cs="Arial"/>
          <w:color w:val="943634" w:themeColor="accent2" w:themeShade="BF"/>
        </w:rPr>
        <w:t xml:space="preserve">Los MNP son órganos independientes para la prevención de la tortura </w:t>
      </w:r>
      <w:r>
        <w:rPr>
          <w:rFonts w:ascii="Arial" w:hAnsi="Arial" w:cs="Arial"/>
          <w:color w:val="943634" w:themeColor="accent2" w:themeShade="BF"/>
        </w:rPr>
        <w:t xml:space="preserve">y malos tratos </w:t>
      </w:r>
      <w:r w:rsidRPr="00E172DC">
        <w:rPr>
          <w:rFonts w:ascii="Arial" w:hAnsi="Arial" w:cs="Arial"/>
          <w:color w:val="943634" w:themeColor="accent2" w:themeShade="BF"/>
        </w:rPr>
        <w:t>a nivel nacional</w:t>
      </w:r>
      <w:r>
        <w:rPr>
          <w:rFonts w:ascii="Arial" w:hAnsi="Arial" w:cs="Arial"/>
          <w:color w:val="943634" w:themeColor="accent2" w:themeShade="BF"/>
        </w:rPr>
        <w:t>. D</w:t>
      </w:r>
      <w:r w:rsidRPr="00E172DC">
        <w:rPr>
          <w:rFonts w:ascii="Arial" w:hAnsi="Arial" w:cs="Arial"/>
          <w:color w:val="943634" w:themeColor="accent2" w:themeShade="BF"/>
        </w:rPr>
        <w:t xml:space="preserve">e conformidad con el Protocolo Facultativo </w:t>
      </w:r>
      <w:r>
        <w:rPr>
          <w:rFonts w:ascii="Arial" w:hAnsi="Arial" w:cs="Arial"/>
          <w:color w:val="943634" w:themeColor="accent2" w:themeShade="BF"/>
        </w:rPr>
        <w:t>de</w:t>
      </w:r>
      <w:r w:rsidRPr="00E172DC">
        <w:rPr>
          <w:rFonts w:ascii="Arial" w:hAnsi="Arial" w:cs="Arial"/>
          <w:color w:val="943634" w:themeColor="accent2" w:themeShade="BF"/>
        </w:rPr>
        <w:t xml:space="preserve"> la Convención contra la Tortura y otros tratos o penas crueles, inhumanos o degradantes</w:t>
      </w:r>
      <w:r>
        <w:rPr>
          <w:rFonts w:ascii="Arial" w:hAnsi="Arial" w:cs="Arial"/>
          <w:color w:val="943634" w:themeColor="accent2" w:themeShade="BF"/>
        </w:rPr>
        <w:t xml:space="preserve"> (OPCAT), c</w:t>
      </w:r>
      <w:r w:rsidRPr="00E172DC">
        <w:rPr>
          <w:rFonts w:ascii="Arial" w:hAnsi="Arial" w:cs="Arial"/>
          <w:color w:val="943634" w:themeColor="accent2" w:themeShade="BF"/>
        </w:rPr>
        <w:t>ada Estado Parte debe crear, mantener o designar un</w:t>
      </w:r>
      <w:r>
        <w:rPr>
          <w:rFonts w:ascii="Arial" w:hAnsi="Arial" w:cs="Arial"/>
          <w:color w:val="943634" w:themeColor="accent2" w:themeShade="BF"/>
        </w:rPr>
        <w:t>o o varios</w:t>
      </w:r>
      <w:r w:rsidRPr="00E172DC">
        <w:rPr>
          <w:rFonts w:ascii="Arial" w:hAnsi="Arial" w:cs="Arial"/>
          <w:color w:val="943634" w:themeColor="accent2" w:themeShade="BF"/>
        </w:rPr>
        <w:t xml:space="preserve"> MNP</w:t>
      </w:r>
      <w:r>
        <w:rPr>
          <w:rFonts w:ascii="Arial" w:hAnsi="Arial" w:cs="Arial"/>
          <w:color w:val="943634" w:themeColor="accent2" w:themeShade="BF"/>
        </w:rPr>
        <w:t xml:space="preserve">, </w:t>
      </w:r>
      <w:r w:rsidRPr="00E172DC">
        <w:rPr>
          <w:rFonts w:ascii="Arial" w:hAnsi="Arial" w:cs="Arial"/>
          <w:color w:val="943634" w:themeColor="accent2" w:themeShade="BF"/>
        </w:rPr>
        <w:t xml:space="preserve"> a más tardar un año después de l</w:t>
      </w:r>
      <w:r>
        <w:rPr>
          <w:rFonts w:ascii="Arial" w:hAnsi="Arial" w:cs="Arial"/>
          <w:color w:val="943634" w:themeColor="accent2" w:themeShade="BF"/>
        </w:rPr>
        <w:t xml:space="preserve">a entrada en vigor del Protocolo </w:t>
      </w:r>
      <w:r w:rsidRPr="00E172DC">
        <w:rPr>
          <w:rFonts w:ascii="Arial" w:hAnsi="Arial" w:cs="Arial"/>
          <w:color w:val="943634" w:themeColor="accent2" w:themeShade="BF"/>
        </w:rPr>
        <w:t>en el Estado en cuestión.</w:t>
      </w:r>
    </w:p>
    <w:p w:rsidR="004C5E70" w:rsidRPr="00CE498A" w:rsidRDefault="004C5E70" w:rsidP="004C5E70">
      <w:pPr>
        <w:pStyle w:val="Sinespaciado"/>
        <w:spacing w:line="276" w:lineRule="auto"/>
        <w:ind w:right="-207"/>
        <w:jc w:val="both"/>
        <w:rPr>
          <w:rFonts w:ascii="Arial" w:hAnsi="Arial" w:cs="Arial"/>
          <w:color w:val="943634" w:themeColor="accent2" w:themeShade="BF"/>
        </w:rPr>
      </w:pPr>
    </w:p>
    <w:p w:rsidR="004C5E70" w:rsidRPr="00B85CA6" w:rsidRDefault="004C5E70" w:rsidP="004C5E70">
      <w:pPr>
        <w:pStyle w:val="Sinespaciado"/>
        <w:spacing w:line="276" w:lineRule="auto"/>
        <w:ind w:right="-207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B85CA6">
        <w:rPr>
          <w:rFonts w:ascii="Arial" w:hAnsi="Arial" w:cs="Arial"/>
          <w:b/>
          <w:color w:val="FFFFFF" w:themeColor="background1"/>
          <w:sz w:val="36"/>
          <w:szCs w:val="36"/>
          <w:highlight w:val="darkRed"/>
        </w:rPr>
        <w:t>Importancia de los MNP</w:t>
      </w:r>
    </w:p>
    <w:p w:rsidR="004C5E70" w:rsidRPr="00B85CA6" w:rsidRDefault="004C5E70" w:rsidP="004C5E70">
      <w:pPr>
        <w:autoSpaceDE w:val="0"/>
        <w:autoSpaceDN w:val="0"/>
        <w:adjustRightInd w:val="0"/>
        <w:spacing w:after="0"/>
        <w:ind w:right="-207"/>
        <w:jc w:val="both"/>
        <w:rPr>
          <w:rFonts w:ascii="Arial" w:hAnsi="Arial" w:cs="Arial"/>
          <w:color w:val="943634" w:themeColor="accent2" w:themeShade="BF"/>
        </w:rPr>
      </w:pPr>
    </w:p>
    <w:p w:rsidR="004C5E70" w:rsidRPr="00F86CC4" w:rsidRDefault="004C5E70" w:rsidP="004C5E70">
      <w:pPr>
        <w:autoSpaceDE w:val="0"/>
        <w:autoSpaceDN w:val="0"/>
        <w:adjustRightInd w:val="0"/>
        <w:spacing w:after="0"/>
        <w:ind w:right="-207"/>
        <w:jc w:val="both"/>
        <w:rPr>
          <w:rFonts w:ascii="Arial" w:hAnsi="Arial" w:cs="Arial"/>
          <w:color w:val="943634" w:themeColor="accent2" w:themeShade="BF"/>
        </w:rPr>
      </w:pPr>
      <w:r w:rsidRPr="00F86CC4">
        <w:rPr>
          <w:rFonts w:ascii="Arial" w:hAnsi="Arial" w:cs="Arial"/>
          <w:color w:val="943634" w:themeColor="accent2" w:themeShade="BF"/>
        </w:rPr>
        <w:t xml:space="preserve">La tortura y otros tratos o penas crueles, </w:t>
      </w:r>
      <w:proofErr w:type="gramStart"/>
      <w:r w:rsidRPr="00F86CC4">
        <w:rPr>
          <w:rFonts w:ascii="Arial" w:hAnsi="Arial" w:cs="Arial"/>
          <w:color w:val="943634" w:themeColor="accent2" w:themeShade="BF"/>
        </w:rPr>
        <w:t>inhumanos</w:t>
      </w:r>
      <w:proofErr w:type="gramEnd"/>
      <w:r w:rsidRPr="00F86CC4">
        <w:rPr>
          <w:rFonts w:ascii="Arial" w:hAnsi="Arial" w:cs="Arial"/>
          <w:color w:val="943634" w:themeColor="accent2" w:themeShade="BF"/>
        </w:rPr>
        <w:t xml:space="preserve"> o degradantes están prohibidos y constituyen violaciones graves de los derechos humanos. Los artículos 2 y 16 de la Convención contra la Tortura obligan a cada Estado Parte a tomar medidas efectivas para prevenir los actos de tortura y otros tratos o penas crueles, </w:t>
      </w:r>
      <w:proofErr w:type="gramStart"/>
      <w:r w:rsidRPr="00F86CC4">
        <w:rPr>
          <w:rFonts w:ascii="Arial" w:hAnsi="Arial" w:cs="Arial"/>
          <w:color w:val="943634" w:themeColor="accent2" w:themeShade="BF"/>
        </w:rPr>
        <w:t>inhumanos</w:t>
      </w:r>
      <w:proofErr w:type="gramEnd"/>
      <w:r w:rsidRPr="00F86CC4">
        <w:rPr>
          <w:rFonts w:ascii="Arial" w:hAnsi="Arial" w:cs="Arial"/>
          <w:color w:val="943634" w:themeColor="accent2" w:themeShade="BF"/>
        </w:rPr>
        <w:t xml:space="preserve"> o degradantes en todo territorio bajo su jurisdicción.</w:t>
      </w:r>
    </w:p>
    <w:p w:rsidR="004C5E70" w:rsidRPr="00F86CC4" w:rsidRDefault="004C5E70" w:rsidP="004C5E70">
      <w:pPr>
        <w:pStyle w:val="Sinespaciado1"/>
        <w:spacing w:line="276" w:lineRule="auto"/>
        <w:ind w:right="-207"/>
        <w:rPr>
          <w:sz w:val="21"/>
          <w:szCs w:val="21"/>
        </w:rPr>
      </w:pPr>
    </w:p>
    <w:p w:rsidR="004C5E70" w:rsidRPr="00F86CC4" w:rsidRDefault="004C5E70" w:rsidP="004C5E70">
      <w:pPr>
        <w:pStyle w:val="Sinespaciado"/>
        <w:spacing w:line="276" w:lineRule="auto"/>
        <w:ind w:right="-207"/>
        <w:jc w:val="both"/>
        <w:rPr>
          <w:rFonts w:ascii="Arial" w:hAnsi="Arial" w:cs="Arial"/>
          <w:color w:val="943634" w:themeColor="accent2" w:themeShade="BF"/>
          <w:sz w:val="21"/>
          <w:szCs w:val="21"/>
        </w:rPr>
      </w:pPr>
      <w:r w:rsidRPr="00F86CC4">
        <w:rPr>
          <w:rFonts w:ascii="Arial" w:hAnsi="Arial" w:cs="Arial"/>
          <w:color w:val="943634" w:themeColor="accent2" w:themeShade="BF"/>
          <w:sz w:val="21"/>
          <w:szCs w:val="21"/>
        </w:rPr>
        <w:t>El OPCAT fue adoptado por la Asamblea General de las Naciones Unidas en 2002 y entró en vigor luego de ser ratificado por 20 Estados el 22 de junio de 2006. El Protocolo consagra la creación de un sistema de visitas regulares a los centros de privación de libertad por parte de dos mecanismos:</w:t>
      </w:r>
    </w:p>
    <w:p w:rsidR="004C5E70" w:rsidRPr="00F86CC4" w:rsidRDefault="004C5E70" w:rsidP="004C5E70">
      <w:pPr>
        <w:pStyle w:val="Sinespaciado1"/>
        <w:spacing w:line="276" w:lineRule="auto"/>
        <w:ind w:right="-207"/>
        <w:rPr>
          <w:sz w:val="16"/>
          <w:szCs w:val="16"/>
        </w:rPr>
      </w:pPr>
    </w:p>
    <w:p w:rsidR="004C5E70" w:rsidRPr="00F86CC4" w:rsidRDefault="004C5E70" w:rsidP="004C5E70">
      <w:pPr>
        <w:pStyle w:val="Sinespaciado"/>
        <w:spacing w:line="276" w:lineRule="auto"/>
        <w:ind w:right="-207"/>
        <w:jc w:val="both"/>
        <w:rPr>
          <w:rFonts w:ascii="Arial" w:hAnsi="Arial" w:cs="Arial"/>
          <w:color w:val="943634" w:themeColor="accent2" w:themeShade="BF"/>
          <w:sz w:val="21"/>
          <w:szCs w:val="21"/>
        </w:rPr>
      </w:pPr>
      <w:r w:rsidRPr="00F86CC4">
        <w:rPr>
          <w:rFonts w:ascii="Arial" w:hAnsi="Arial" w:cs="Arial"/>
          <w:color w:val="943634" w:themeColor="accent2" w:themeShade="BF"/>
          <w:sz w:val="21"/>
          <w:szCs w:val="21"/>
        </w:rPr>
        <w:t>1) los Mecanismos Nacionales de Prevención (</w:t>
      </w:r>
      <w:r w:rsidRPr="00F86CC4">
        <w:rPr>
          <w:rFonts w:ascii="Arial" w:hAnsi="Arial" w:cs="Arial"/>
          <w:b/>
          <w:color w:val="943634" w:themeColor="accent2" w:themeShade="BF"/>
          <w:sz w:val="21"/>
          <w:szCs w:val="21"/>
        </w:rPr>
        <w:t>MNP</w:t>
      </w:r>
      <w:r>
        <w:rPr>
          <w:rFonts w:ascii="Arial" w:hAnsi="Arial" w:cs="Arial"/>
          <w:color w:val="943634" w:themeColor="accent2" w:themeShade="BF"/>
          <w:sz w:val="21"/>
          <w:szCs w:val="21"/>
        </w:rPr>
        <w:t>), con el objetivo de</w:t>
      </w:r>
      <w:r w:rsidRPr="00F86CC4">
        <w:rPr>
          <w:rFonts w:ascii="Arial" w:hAnsi="Arial" w:cs="Arial"/>
          <w:color w:val="943634" w:themeColor="accent2" w:themeShade="BF"/>
          <w:sz w:val="21"/>
          <w:szCs w:val="21"/>
        </w:rPr>
        <w:t xml:space="preserve"> </w:t>
      </w:r>
      <w:r>
        <w:rPr>
          <w:rFonts w:ascii="Arial" w:hAnsi="Arial" w:cs="Arial"/>
          <w:color w:val="943634" w:themeColor="accent2" w:themeShade="BF"/>
          <w:sz w:val="21"/>
          <w:szCs w:val="21"/>
        </w:rPr>
        <w:t>hacer</w:t>
      </w:r>
      <w:r w:rsidRPr="00F86CC4">
        <w:rPr>
          <w:rFonts w:ascii="Arial" w:hAnsi="Arial" w:cs="Arial"/>
          <w:color w:val="943634" w:themeColor="accent2" w:themeShade="BF"/>
          <w:sz w:val="21"/>
          <w:szCs w:val="21"/>
        </w:rPr>
        <w:t xml:space="preserve"> visitas y recomendaciones para mejorar el trato y las condiciones de personas privadas de su libertad, a nivel de país; y,</w:t>
      </w:r>
    </w:p>
    <w:p w:rsidR="004C5E70" w:rsidRPr="00F86CC4" w:rsidRDefault="004C5E70" w:rsidP="004C5E70">
      <w:pPr>
        <w:pStyle w:val="Sinespaciado1"/>
        <w:spacing w:line="276" w:lineRule="auto"/>
        <w:ind w:right="-207"/>
        <w:rPr>
          <w:sz w:val="21"/>
          <w:szCs w:val="21"/>
        </w:rPr>
      </w:pPr>
    </w:p>
    <w:p w:rsidR="004C5E70" w:rsidRDefault="004C5E70" w:rsidP="004C5E70">
      <w:pPr>
        <w:pStyle w:val="Sinespaciado"/>
        <w:spacing w:line="276" w:lineRule="auto"/>
        <w:ind w:right="-207"/>
        <w:jc w:val="both"/>
        <w:rPr>
          <w:rFonts w:ascii="Arial" w:hAnsi="Arial" w:cs="Arial"/>
          <w:color w:val="943634" w:themeColor="accent2" w:themeShade="BF"/>
          <w:sz w:val="21"/>
          <w:szCs w:val="21"/>
        </w:rPr>
      </w:pPr>
      <w:r w:rsidRPr="00F86CC4">
        <w:rPr>
          <w:rFonts w:ascii="Arial" w:hAnsi="Arial" w:cs="Arial"/>
          <w:color w:val="943634" w:themeColor="accent2" w:themeShade="BF"/>
          <w:sz w:val="21"/>
          <w:szCs w:val="21"/>
        </w:rPr>
        <w:t>2) el Subcomité de las Naciones Unidas para la Prevención de la Tortura (</w:t>
      </w:r>
      <w:r w:rsidRPr="00F86CC4">
        <w:rPr>
          <w:rFonts w:ascii="Arial" w:hAnsi="Arial" w:cs="Arial"/>
          <w:b/>
          <w:color w:val="943634" w:themeColor="accent2" w:themeShade="BF"/>
          <w:sz w:val="21"/>
          <w:szCs w:val="21"/>
        </w:rPr>
        <w:t>SPT</w:t>
      </w:r>
      <w:r w:rsidRPr="00F86CC4">
        <w:rPr>
          <w:rFonts w:ascii="Arial" w:hAnsi="Arial" w:cs="Arial"/>
          <w:color w:val="943634" w:themeColor="accent2" w:themeShade="BF"/>
          <w:sz w:val="21"/>
          <w:szCs w:val="21"/>
        </w:rPr>
        <w:t>), compuesto por 25 expertos internacionales que visitan regularmente diversos lugares donde se encuentran personas privadas de libertad en todo el mundo.</w:t>
      </w:r>
    </w:p>
    <w:p w:rsidR="004C5E70" w:rsidRPr="00F86CC4" w:rsidRDefault="004C5E70" w:rsidP="004C5E70">
      <w:pPr>
        <w:pStyle w:val="Sinespaciado"/>
        <w:spacing w:line="276" w:lineRule="auto"/>
        <w:ind w:right="-207"/>
        <w:jc w:val="both"/>
        <w:rPr>
          <w:rFonts w:ascii="Arial" w:hAnsi="Arial" w:cs="Arial"/>
          <w:color w:val="943634" w:themeColor="accent2" w:themeShade="BF"/>
          <w:sz w:val="21"/>
          <w:szCs w:val="21"/>
        </w:rPr>
      </w:pPr>
    </w:p>
    <w:p w:rsidR="004C5E70" w:rsidRPr="005624B3" w:rsidRDefault="004C5E70" w:rsidP="004C5E70">
      <w:pPr>
        <w:pStyle w:val="Sinespaciado"/>
        <w:spacing w:line="276" w:lineRule="auto"/>
        <w:rPr>
          <w:rFonts w:ascii="Arial" w:hAnsi="Arial" w:cs="Arial"/>
          <w:b/>
          <w:color w:val="FFFFFF" w:themeColor="background1"/>
          <w:sz w:val="36"/>
          <w:szCs w:val="36"/>
          <w:u w:val="single"/>
        </w:rPr>
      </w:pPr>
      <w:r w:rsidRPr="005624B3">
        <w:rPr>
          <w:rFonts w:ascii="Arial" w:hAnsi="Arial" w:cs="Arial"/>
          <w:b/>
          <w:color w:val="FFFFFF" w:themeColor="background1"/>
          <w:sz w:val="36"/>
          <w:szCs w:val="36"/>
          <w:highlight w:val="darkRed"/>
          <w:u w:val="single"/>
        </w:rPr>
        <w:t>Funciones</w:t>
      </w:r>
    </w:p>
    <w:p w:rsidR="004C5E70" w:rsidRPr="00353CDA" w:rsidRDefault="004C5E70" w:rsidP="004C5E70">
      <w:pPr>
        <w:pStyle w:val="Sinespaciado1"/>
        <w:spacing w:line="276" w:lineRule="auto"/>
        <w:rPr>
          <w:sz w:val="20"/>
          <w:szCs w:val="20"/>
        </w:rPr>
      </w:pPr>
    </w:p>
    <w:p w:rsidR="004C5E70" w:rsidRPr="002E7BF9" w:rsidRDefault="004C5E70" w:rsidP="004C5E70">
      <w:pPr>
        <w:pStyle w:val="Sinespaciado1"/>
        <w:spacing w:line="276" w:lineRule="auto"/>
        <w:jc w:val="both"/>
        <w:rPr>
          <w:rFonts w:ascii="Arial" w:hAnsi="Arial" w:cs="Arial"/>
          <w:color w:val="943634" w:themeColor="accent2" w:themeShade="BF"/>
        </w:rPr>
      </w:pPr>
      <w:r>
        <w:rPr>
          <w:rFonts w:ascii="Arial" w:hAnsi="Arial" w:cs="Arial"/>
          <w:color w:val="943634" w:themeColor="accent2" w:themeShade="BF"/>
        </w:rPr>
        <w:t>C</w:t>
      </w:r>
      <w:r w:rsidRPr="00DB3CA0">
        <w:rPr>
          <w:rFonts w:ascii="Arial" w:hAnsi="Arial" w:cs="Arial"/>
          <w:color w:val="943634" w:themeColor="accent2" w:themeShade="BF"/>
        </w:rPr>
        <w:t>on el fin de prevenir la tortura y otros malos tratos</w:t>
      </w:r>
      <w:r>
        <w:rPr>
          <w:rFonts w:ascii="Arial" w:hAnsi="Arial" w:cs="Arial"/>
          <w:color w:val="943634" w:themeColor="accent2" w:themeShade="BF"/>
          <w:lang w:val="es-ES_tradnl"/>
        </w:rPr>
        <w:t>,</w:t>
      </w:r>
      <w:r w:rsidRPr="00DB3CA0">
        <w:rPr>
          <w:rFonts w:ascii="Arial" w:hAnsi="Arial" w:cs="Arial"/>
          <w:color w:val="943634" w:themeColor="accent2" w:themeShade="BF"/>
          <w:lang w:val="es-ES_tradnl"/>
        </w:rPr>
        <w:t xml:space="preserve"> </w:t>
      </w:r>
      <w:r>
        <w:rPr>
          <w:rFonts w:ascii="Arial" w:hAnsi="Arial" w:cs="Arial"/>
          <w:color w:val="943634" w:themeColor="accent2" w:themeShade="BF"/>
        </w:rPr>
        <w:t>l</w:t>
      </w:r>
      <w:r w:rsidRPr="00DB3CA0">
        <w:rPr>
          <w:rFonts w:ascii="Arial" w:hAnsi="Arial" w:cs="Arial"/>
          <w:color w:val="943634" w:themeColor="accent2" w:themeShade="BF"/>
        </w:rPr>
        <w:t xml:space="preserve">os MNP </w:t>
      </w:r>
      <w:r w:rsidRPr="00E306DD">
        <w:rPr>
          <w:rFonts w:ascii="Arial" w:hAnsi="Arial" w:cs="Arial"/>
          <w:b/>
          <w:color w:val="943634" w:themeColor="accent2" w:themeShade="BF"/>
        </w:rPr>
        <w:t>realizan visitas</w:t>
      </w:r>
      <w:r w:rsidRPr="00DB3CA0">
        <w:rPr>
          <w:rFonts w:ascii="Arial" w:hAnsi="Arial" w:cs="Arial"/>
          <w:color w:val="943634" w:themeColor="accent2" w:themeShade="BF"/>
        </w:rPr>
        <w:t xml:space="preserve"> periódicas a </w:t>
      </w:r>
      <w:r w:rsidRPr="007725A6">
        <w:rPr>
          <w:rFonts w:ascii="Arial" w:hAnsi="Arial" w:cs="Arial"/>
          <w:color w:val="943634" w:themeColor="accent2" w:themeShade="BF"/>
        </w:rPr>
        <w:t xml:space="preserve">comisarías de policía, prisiones (militares y civiles), centros de detención (por ejemplo, centros de prisión preventiva, de detención de inmigrantes, de reclusión de menores, etc.), instituciones de salud mental </w:t>
      </w:r>
      <w:r>
        <w:rPr>
          <w:rFonts w:ascii="Arial" w:hAnsi="Arial" w:cs="Arial"/>
          <w:color w:val="943634" w:themeColor="accent2" w:themeShade="BF"/>
        </w:rPr>
        <w:t>y atención social, y cualquier otro lugar donde hayan personas</w:t>
      </w:r>
      <w:r w:rsidRPr="007725A6">
        <w:rPr>
          <w:rFonts w:ascii="Arial" w:hAnsi="Arial" w:cs="Arial"/>
          <w:color w:val="943634" w:themeColor="accent2" w:themeShade="BF"/>
        </w:rPr>
        <w:t xml:space="preserve"> privadas de libertad</w:t>
      </w:r>
      <w:r>
        <w:rPr>
          <w:rFonts w:ascii="Arial" w:hAnsi="Arial" w:cs="Arial"/>
          <w:color w:val="943634" w:themeColor="accent2" w:themeShade="BF"/>
        </w:rPr>
        <w:t xml:space="preserve"> y que no puedan salir por orden de la autoridad pública.</w:t>
      </w:r>
    </w:p>
    <w:p w:rsidR="004C5E70" w:rsidRPr="002E7BF9" w:rsidRDefault="004C5E70" w:rsidP="004C5E70">
      <w:pPr>
        <w:pStyle w:val="Sinespaciado1"/>
        <w:spacing w:line="276" w:lineRule="auto"/>
        <w:jc w:val="both"/>
        <w:rPr>
          <w:rFonts w:ascii="Arial" w:hAnsi="Arial" w:cs="Arial"/>
          <w:color w:val="943634" w:themeColor="accent2" w:themeShade="BF"/>
        </w:rPr>
      </w:pPr>
    </w:p>
    <w:p w:rsidR="004C5E70" w:rsidRDefault="004C5E70" w:rsidP="004C5E70">
      <w:pPr>
        <w:pStyle w:val="Sinespaciado1"/>
        <w:spacing w:line="276" w:lineRule="auto"/>
        <w:jc w:val="both"/>
        <w:rPr>
          <w:rFonts w:ascii="Arial" w:hAnsi="Arial" w:cs="Arial"/>
          <w:color w:val="943634" w:themeColor="accent2" w:themeShade="BF"/>
        </w:rPr>
      </w:pPr>
      <w:r>
        <w:rPr>
          <w:rFonts w:ascii="Arial" w:hAnsi="Arial" w:cs="Arial"/>
          <w:color w:val="943634" w:themeColor="accent2" w:themeShade="BF"/>
          <w:lang w:val="es-ES_tradnl"/>
        </w:rPr>
        <w:t>Los MNP</w:t>
      </w:r>
      <w:r w:rsidRPr="00DB3CA0">
        <w:rPr>
          <w:rFonts w:ascii="Arial" w:hAnsi="Arial" w:cs="Arial"/>
          <w:color w:val="943634" w:themeColor="accent2" w:themeShade="BF"/>
          <w:lang w:val="es-ES_tradnl"/>
        </w:rPr>
        <w:t xml:space="preserve"> </w:t>
      </w:r>
      <w:r w:rsidRPr="00E306DD">
        <w:rPr>
          <w:rFonts w:ascii="Arial" w:hAnsi="Arial" w:cs="Arial"/>
          <w:b/>
          <w:color w:val="943634" w:themeColor="accent2" w:themeShade="BF"/>
          <w:lang w:val="es-ES_tradnl"/>
        </w:rPr>
        <w:t>hacen</w:t>
      </w:r>
      <w:r w:rsidRPr="00E306DD">
        <w:rPr>
          <w:rFonts w:ascii="Arial" w:hAnsi="Arial" w:cs="Arial"/>
          <w:b/>
          <w:color w:val="943634" w:themeColor="accent2" w:themeShade="BF"/>
        </w:rPr>
        <w:t xml:space="preserve"> recomendaciones</w:t>
      </w:r>
      <w:r w:rsidRPr="00DB3CA0">
        <w:rPr>
          <w:rFonts w:ascii="Arial" w:hAnsi="Arial" w:cs="Arial"/>
          <w:color w:val="943634" w:themeColor="accent2" w:themeShade="BF"/>
        </w:rPr>
        <w:t xml:space="preserve"> a las autoridades competentes para mejorar las condiciones de detención y el trato de dichas personas. Asimismo, formulan propuestas acerca de la legislación o proyectos de ley existentes en la materia. </w:t>
      </w:r>
    </w:p>
    <w:p w:rsidR="004C5E70" w:rsidRPr="00201266" w:rsidRDefault="004C5E70" w:rsidP="004C5E70">
      <w:pPr>
        <w:pStyle w:val="Sinespaciado1"/>
        <w:spacing w:line="276" w:lineRule="auto"/>
        <w:jc w:val="both"/>
        <w:rPr>
          <w:rFonts w:ascii="Arial" w:hAnsi="Arial" w:cs="Arial"/>
          <w:color w:val="943634" w:themeColor="accent2" w:themeShade="BF"/>
        </w:rPr>
      </w:pPr>
    </w:p>
    <w:p w:rsidR="004C5E70" w:rsidRPr="001574E6" w:rsidRDefault="004C5E70" w:rsidP="004C5E70">
      <w:pPr>
        <w:pStyle w:val="Sinespaciado"/>
        <w:spacing w:line="276" w:lineRule="auto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1574E6">
        <w:rPr>
          <w:rFonts w:ascii="Arial" w:hAnsi="Arial" w:cs="Arial"/>
          <w:b/>
          <w:color w:val="FFFFFF" w:themeColor="background1"/>
          <w:sz w:val="36"/>
          <w:szCs w:val="36"/>
          <w:highlight w:val="darkRed"/>
        </w:rPr>
        <w:lastRenderedPageBreak/>
        <w:t>Requisitos</w:t>
      </w:r>
    </w:p>
    <w:p w:rsidR="004C5E70" w:rsidRPr="00353CDA" w:rsidRDefault="004C5E70" w:rsidP="004C5E70">
      <w:pPr>
        <w:pStyle w:val="Sinespaciado1"/>
        <w:spacing w:line="276" w:lineRule="auto"/>
        <w:rPr>
          <w:sz w:val="20"/>
          <w:szCs w:val="20"/>
        </w:rPr>
      </w:pPr>
    </w:p>
    <w:p w:rsidR="004C5E70" w:rsidRPr="00122435" w:rsidRDefault="004C5E70" w:rsidP="004C5E70">
      <w:pPr>
        <w:pStyle w:val="Sinespaciado"/>
        <w:spacing w:line="276" w:lineRule="auto"/>
        <w:ind w:right="-65"/>
        <w:jc w:val="both"/>
        <w:rPr>
          <w:rFonts w:ascii="Arial" w:hAnsi="Arial" w:cs="Arial"/>
          <w:b/>
          <w:color w:val="943634" w:themeColor="accent2" w:themeShade="BF"/>
          <w:sz w:val="21"/>
          <w:szCs w:val="21"/>
          <w:u w:val="single"/>
        </w:rPr>
      </w:pPr>
      <w:r w:rsidRPr="00122435">
        <w:rPr>
          <w:rFonts w:ascii="Arial" w:hAnsi="Arial" w:cs="Arial"/>
          <w:color w:val="943634" w:themeColor="accent2" w:themeShade="BF"/>
          <w:sz w:val="21"/>
          <w:szCs w:val="21"/>
        </w:rPr>
        <w:t xml:space="preserve">Los requisitos de los MNP vienen definidos en el propio OPCAT y las Directrices relativas a los MNP (CAT/OP/12/5). Asimismo, los </w:t>
      </w:r>
      <w:r w:rsidRPr="00122435">
        <w:rPr>
          <w:rFonts w:ascii="Arial" w:hAnsi="Arial" w:cs="Arial"/>
          <w:i/>
          <w:color w:val="943634" w:themeColor="accent2" w:themeShade="BF"/>
          <w:sz w:val="21"/>
          <w:szCs w:val="21"/>
        </w:rPr>
        <w:t>Principios de París</w:t>
      </w:r>
      <w:r w:rsidRPr="00122435">
        <w:rPr>
          <w:rFonts w:ascii="Arial" w:hAnsi="Arial" w:cs="Arial"/>
          <w:color w:val="943634" w:themeColor="accent2" w:themeShade="BF"/>
          <w:sz w:val="21"/>
          <w:szCs w:val="21"/>
        </w:rPr>
        <w:t xml:space="preserve"> son el marco de referencia para el establecimiento de los MNP.</w:t>
      </w:r>
      <w:r w:rsidRPr="00B212F7">
        <w:rPr>
          <w:rFonts w:ascii="Arial" w:hAnsi="Arial" w:cs="Arial"/>
          <w:b/>
          <w:color w:val="943634" w:themeColor="accent2" w:themeShade="BF"/>
          <w:sz w:val="21"/>
          <w:szCs w:val="21"/>
        </w:rPr>
        <w:t xml:space="preserve"> </w:t>
      </w:r>
      <w:r w:rsidRPr="00122435">
        <w:rPr>
          <w:rFonts w:ascii="Arial" w:hAnsi="Arial" w:cs="Arial"/>
          <w:color w:val="943634" w:themeColor="accent2" w:themeShade="BF"/>
          <w:sz w:val="21"/>
          <w:szCs w:val="21"/>
        </w:rPr>
        <w:t xml:space="preserve">Aprobados por la Asamblea General de las Naciones Unidas el 20 de diciembre de 1993, los Principios de París representan una fuente de estándares internacionales para la creación y funcionamiento de las Instituciones Nacionales de Derechos Humanos así como para los MNP. Detallan sus competencias y responsabilidades, composición, garantías de independencia y sus métodos de operación. </w:t>
      </w:r>
    </w:p>
    <w:p w:rsidR="004C5E70" w:rsidRPr="00353CDA" w:rsidRDefault="004C5E70" w:rsidP="004C5E70">
      <w:pPr>
        <w:pStyle w:val="Sinespaciado"/>
        <w:spacing w:line="276" w:lineRule="auto"/>
        <w:ind w:right="-65"/>
        <w:jc w:val="both"/>
        <w:rPr>
          <w:rFonts w:ascii="Arial" w:hAnsi="Arial" w:cs="Arial"/>
          <w:color w:val="943634" w:themeColor="accent2" w:themeShade="BF"/>
          <w:sz w:val="20"/>
          <w:szCs w:val="20"/>
        </w:rPr>
      </w:pPr>
    </w:p>
    <w:p w:rsidR="004C5E70" w:rsidRDefault="004C5E70" w:rsidP="004C5E70">
      <w:pPr>
        <w:pStyle w:val="Sinespaciado"/>
        <w:spacing w:line="276" w:lineRule="auto"/>
        <w:ind w:right="-65"/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</w:pPr>
      <w:r w:rsidRPr="009E695B"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  <w:t>Autonomía e i</w:t>
      </w:r>
      <w:r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  <w:t>ndependencia:</w:t>
      </w:r>
    </w:p>
    <w:p w:rsidR="004C5E70" w:rsidRPr="009E695B" w:rsidRDefault="004C5E70" w:rsidP="004C5E70">
      <w:pPr>
        <w:pStyle w:val="Sinespaciado"/>
        <w:spacing w:line="276" w:lineRule="auto"/>
        <w:ind w:right="-65"/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</w:pPr>
    </w:p>
    <w:p w:rsidR="004C5E70" w:rsidRPr="00A351B4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</w:rPr>
      </w:pPr>
      <w:r w:rsidRPr="00180C3C">
        <w:rPr>
          <w:rFonts w:ascii="Arial" w:hAnsi="Arial" w:cs="Arial"/>
          <w:bCs/>
          <w:color w:val="943634" w:themeColor="accent2" w:themeShade="BF"/>
          <w:sz w:val="21"/>
          <w:szCs w:val="21"/>
        </w:rPr>
        <w:t xml:space="preserve">Los MNP no están bajo la autoridad del poder ejecutivo, legislativo o judicial. De manera imparcial, fiscalizan al Estado para asegurar que cumpla con su obligación de prevenir la tortura. </w:t>
      </w:r>
      <w:r w:rsidRPr="00180C3C">
        <w:rPr>
          <w:rFonts w:ascii="Arial" w:hAnsi="Arial" w:cs="Arial"/>
          <w:color w:val="943634" w:themeColor="accent2" w:themeShade="BF"/>
          <w:sz w:val="21"/>
          <w:szCs w:val="21"/>
        </w:rPr>
        <w:t>Los Estados deben asegurar la independencia funcional de los MNP, de su personal, así como los recursos necesarios para su funcionamiento.</w:t>
      </w:r>
      <w:r w:rsidRPr="0099098B">
        <w:rPr>
          <w:rFonts w:ascii="Arial" w:hAnsi="Arial" w:cs="Arial"/>
          <w:color w:val="943634" w:themeColor="accent2" w:themeShade="BF"/>
        </w:rPr>
        <w:t xml:space="preserve"> </w:t>
      </w:r>
      <w:r w:rsidRPr="00362F4E">
        <w:rPr>
          <w:rFonts w:ascii="Arial" w:hAnsi="Arial" w:cs="Arial"/>
          <w:color w:val="943634" w:themeColor="accent2" w:themeShade="BF"/>
        </w:rPr>
        <w:t>Además, tienen que otorgarles las prerrogativas e inmunidades para ejecutar independientemente su mandato. El Estado debería abstenerse de nombrar miembros que ocupen cargos que puedan suscitar conflictos de intereses.</w:t>
      </w:r>
      <w:r w:rsidRPr="0099098B">
        <w:rPr>
          <w:rFonts w:ascii="Arial" w:hAnsi="Arial" w:cs="Arial"/>
          <w:color w:val="943634" w:themeColor="accent2" w:themeShade="BF"/>
        </w:rPr>
        <w:t xml:space="preserve"> </w:t>
      </w:r>
    </w:p>
    <w:p w:rsidR="004C5E70" w:rsidRPr="009E695B" w:rsidRDefault="004C5E70" w:rsidP="004C5E70">
      <w:pPr>
        <w:pStyle w:val="Sinespaciado"/>
        <w:spacing w:line="276" w:lineRule="auto"/>
        <w:jc w:val="both"/>
        <w:rPr>
          <w:rFonts w:ascii="Arial" w:hAnsi="Arial" w:cs="Arial"/>
          <w:b/>
          <w:color w:val="943634" w:themeColor="accent2" w:themeShade="BF"/>
          <w:sz w:val="20"/>
          <w:szCs w:val="20"/>
          <w:u w:val="single"/>
        </w:rPr>
      </w:pPr>
    </w:p>
    <w:p w:rsidR="004C5E70" w:rsidRPr="009E695B" w:rsidRDefault="004C5E70" w:rsidP="004C5E70">
      <w:pPr>
        <w:pStyle w:val="Sinespaciado"/>
        <w:spacing w:line="276" w:lineRule="auto"/>
        <w:jc w:val="both"/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</w:pPr>
      <w:r w:rsidRPr="009E695B"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  <w:t xml:space="preserve">Profesionalismo: </w:t>
      </w:r>
    </w:p>
    <w:p w:rsidR="004C5E70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</w:rPr>
      </w:pPr>
    </w:p>
    <w:p w:rsidR="004C5E70" w:rsidRPr="0099098B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</w:rPr>
      </w:pPr>
      <w:r w:rsidRPr="0099098B">
        <w:rPr>
          <w:rFonts w:ascii="Arial" w:hAnsi="Arial" w:cs="Arial"/>
          <w:color w:val="943634" w:themeColor="accent2" w:themeShade="BF"/>
        </w:rPr>
        <w:t>Los miembros de los MNP deben tener las capacidades y conocimientos profesionales necesarios que garanticen colectivamente la efi</w:t>
      </w:r>
      <w:r>
        <w:rPr>
          <w:rFonts w:ascii="Arial" w:hAnsi="Arial" w:cs="Arial"/>
          <w:color w:val="943634" w:themeColor="accent2" w:themeShade="BF"/>
        </w:rPr>
        <w:t>cacia de su funcionamiento. Para ello, es importante tener en cuenta</w:t>
      </w:r>
      <w:r w:rsidRPr="0099098B">
        <w:rPr>
          <w:rFonts w:ascii="Arial" w:hAnsi="Arial" w:cs="Arial"/>
          <w:color w:val="943634" w:themeColor="accent2" w:themeShade="BF"/>
        </w:rPr>
        <w:t xml:space="preserve">, entre otras cosas, </w:t>
      </w:r>
      <w:r>
        <w:rPr>
          <w:rFonts w:ascii="Arial" w:hAnsi="Arial" w:cs="Arial"/>
          <w:color w:val="943634" w:themeColor="accent2" w:themeShade="BF"/>
        </w:rPr>
        <w:t xml:space="preserve">los </w:t>
      </w:r>
      <w:r w:rsidRPr="0099098B">
        <w:rPr>
          <w:rFonts w:ascii="Arial" w:hAnsi="Arial" w:cs="Arial"/>
          <w:color w:val="943634" w:themeColor="accent2" w:themeShade="BF"/>
        </w:rPr>
        <w:t xml:space="preserve">conocimientos especializados pertinentes en materia jurídica y de atención de la salud. </w:t>
      </w:r>
    </w:p>
    <w:p w:rsidR="004C5E70" w:rsidRPr="00C3362E" w:rsidRDefault="004C5E70" w:rsidP="004C5E70">
      <w:pPr>
        <w:pStyle w:val="Sinespaciado1"/>
        <w:spacing w:line="276" w:lineRule="auto"/>
        <w:ind w:right="218"/>
        <w:rPr>
          <w:rFonts w:ascii="Arial" w:hAnsi="Arial" w:cs="Arial"/>
          <w:sz w:val="20"/>
          <w:szCs w:val="20"/>
        </w:rPr>
      </w:pPr>
    </w:p>
    <w:p w:rsidR="004C5E70" w:rsidRPr="009E695B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</w:pPr>
      <w:r w:rsidRPr="009E695B"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  <w:t xml:space="preserve">Diversidad: </w:t>
      </w:r>
    </w:p>
    <w:p w:rsidR="004C5E70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</w:rPr>
      </w:pPr>
    </w:p>
    <w:p w:rsidR="004C5E70" w:rsidRPr="0099098B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</w:rPr>
      </w:pPr>
      <w:r>
        <w:rPr>
          <w:rFonts w:ascii="Arial" w:hAnsi="Arial" w:cs="Arial"/>
          <w:color w:val="943634" w:themeColor="accent2" w:themeShade="BF"/>
        </w:rPr>
        <w:t>S</w:t>
      </w:r>
      <w:r w:rsidRPr="0099098B">
        <w:rPr>
          <w:rFonts w:ascii="Arial" w:hAnsi="Arial" w:cs="Arial"/>
          <w:color w:val="943634" w:themeColor="accent2" w:themeShade="BF"/>
        </w:rPr>
        <w:t>e tendrá en cuenta el equilibrio de género y la adecuada representación de los grupos étnicos y minoritarios del país</w:t>
      </w:r>
      <w:r>
        <w:rPr>
          <w:rFonts w:ascii="Arial" w:hAnsi="Arial" w:cs="Arial"/>
          <w:color w:val="943634" w:themeColor="accent2" w:themeShade="BF"/>
        </w:rPr>
        <w:t>.</w:t>
      </w:r>
      <w:r w:rsidRPr="0099098B">
        <w:rPr>
          <w:rFonts w:ascii="Arial" w:hAnsi="Arial" w:cs="Arial"/>
          <w:color w:val="943634" w:themeColor="accent2" w:themeShade="BF"/>
        </w:rPr>
        <w:t xml:space="preserve"> </w:t>
      </w:r>
    </w:p>
    <w:p w:rsidR="004C5E70" w:rsidRPr="00C3362E" w:rsidRDefault="004C5E70" w:rsidP="004C5E70">
      <w:pPr>
        <w:pStyle w:val="Sinespaciado"/>
        <w:spacing w:line="276" w:lineRule="auto"/>
        <w:ind w:right="218"/>
        <w:rPr>
          <w:rFonts w:ascii="Arial" w:hAnsi="Arial" w:cs="Arial"/>
          <w:sz w:val="20"/>
          <w:szCs w:val="20"/>
        </w:rPr>
      </w:pPr>
    </w:p>
    <w:p w:rsidR="004C5E70" w:rsidRPr="009E695B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</w:pPr>
      <w:r w:rsidRPr="009E695B"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  <w:t xml:space="preserve">Legalidad: </w:t>
      </w:r>
    </w:p>
    <w:p w:rsidR="004C5E70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</w:rPr>
      </w:pPr>
    </w:p>
    <w:p w:rsidR="004C5E70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</w:rPr>
      </w:pPr>
      <w:r>
        <w:rPr>
          <w:rFonts w:ascii="Arial" w:hAnsi="Arial" w:cs="Arial"/>
          <w:color w:val="943634" w:themeColor="accent2" w:themeShade="BF"/>
        </w:rPr>
        <w:t>Sería conveniente que e</w:t>
      </w:r>
      <w:r w:rsidRPr="0099098B">
        <w:rPr>
          <w:rFonts w:ascii="Arial" w:hAnsi="Arial" w:cs="Arial"/>
          <w:color w:val="943634" w:themeColor="accent2" w:themeShade="BF"/>
        </w:rPr>
        <w:t xml:space="preserve">l mandato y las facultades de los MNP </w:t>
      </w:r>
      <w:r>
        <w:rPr>
          <w:rFonts w:ascii="Arial" w:hAnsi="Arial" w:cs="Arial"/>
          <w:color w:val="943634" w:themeColor="accent2" w:themeShade="BF"/>
        </w:rPr>
        <w:t>se anunciara2n</w:t>
      </w:r>
      <w:r w:rsidRPr="0099098B">
        <w:rPr>
          <w:rFonts w:ascii="Arial" w:hAnsi="Arial" w:cs="Arial"/>
          <w:color w:val="943634" w:themeColor="accent2" w:themeShade="BF"/>
        </w:rPr>
        <w:t xml:space="preserve"> de manera clara</w:t>
      </w:r>
      <w:r>
        <w:rPr>
          <w:rFonts w:ascii="Arial" w:hAnsi="Arial" w:cs="Arial"/>
          <w:color w:val="943634" w:themeColor="accent2" w:themeShade="BF"/>
        </w:rPr>
        <w:t>,</w:t>
      </w:r>
      <w:r w:rsidRPr="0099098B">
        <w:rPr>
          <w:rFonts w:ascii="Arial" w:hAnsi="Arial" w:cs="Arial"/>
          <w:color w:val="943634" w:themeColor="accent2" w:themeShade="BF"/>
        </w:rPr>
        <w:t xml:space="preserve"> en forma de texto constitucional o legislativo. </w:t>
      </w:r>
    </w:p>
    <w:p w:rsidR="004C5E70" w:rsidRPr="00C3362E" w:rsidRDefault="004C5E70" w:rsidP="004C5E70">
      <w:pPr>
        <w:pStyle w:val="Sinespaciado"/>
        <w:spacing w:line="276" w:lineRule="auto"/>
        <w:ind w:right="218"/>
        <w:rPr>
          <w:rFonts w:ascii="Arial" w:hAnsi="Arial" w:cs="Arial"/>
          <w:sz w:val="20"/>
          <w:szCs w:val="20"/>
        </w:rPr>
      </w:pPr>
    </w:p>
    <w:p w:rsidR="004C5E70" w:rsidRPr="009E695B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</w:pPr>
      <w:r w:rsidRPr="009E695B"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  <w:t xml:space="preserve">Complementariedad: </w:t>
      </w:r>
    </w:p>
    <w:p w:rsidR="004C5E70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</w:rPr>
      </w:pPr>
    </w:p>
    <w:p w:rsidR="004C5E70" w:rsidRPr="0099098B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</w:rPr>
      </w:pPr>
      <w:r w:rsidRPr="0099098B">
        <w:rPr>
          <w:rFonts w:ascii="Arial" w:hAnsi="Arial" w:cs="Arial"/>
          <w:color w:val="943634" w:themeColor="accent2" w:themeShade="BF"/>
        </w:rPr>
        <w:t xml:space="preserve">Los MNP deben ser un complemento y no un sustituto de los sistemas de supervisión ya existentes, por lo que su creación no debe impedir la creación o el funcionamiento de otros sistemas complementarios. </w:t>
      </w:r>
    </w:p>
    <w:p w:rsidR="004C5E70" w:rsidRPr="00C3362E" w:rsidRDefault="004C5E70" w:rsidP="004C5E70">
      <w:pPr>
        <w:pStyle w:val="Sinespaciado"/>
        <w:spacing w:line="276" w:lineRule="auto"/>
        <w:ind w:right="218"/>
        <w:rPr>
          <w:rFonts w:ascii="Arial" w:hAnsi="Arial" w:cs="Arial"/>
          <w:sz w:val="20"/>
          <w:szCs w:val="20"/>
        </w:rPr>
      </w:pPr>
    </w:p>
    <w:p w:rsidR="004C5E70" w:rsidRPr="009E695B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</w:pPr>
      <w:r w:rsidRPr="009E695B">
        <w:rPr>
          <w:rFonts w:ascii="Arial" w:hAnsi="Arial" w:cs="Arial"/>
          <w:b/>
          <w:color w:val="943634" w:themeColor="accent2" w:themeShade="BF"/>
          <w:sz w:val="26"/>
          <w:szCs w:val="26"/>
          <w:u w:val="single"/>
        </w:rPr>
        <w:t xml:space="preserve">Transparencia y representatividad: </w:t>
      </w:r>
    </w:p>
    <w:p w:rsidR="004C5E70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  <w:sz w:val="21"/>
          <w:szCs w:val="21"/>
        </w:rPr>
      </w:pPr>
    </w:p>
    <w:p w:rsidR="004C5E70" w:rsidRPr="00362F4E" w:rsidRDefault="004C5E70" w:rsidP="004C5E70">
      <w:pPr>
        <w:pStyle w:val="Sinespaciado"/>
        <w:spacing w:line="276" w:lineRule="auto"/>
        <w:ind w:right="218"/>
        <w:jc w:val="both"/>
        <w:rPr>
          <w:rFonts w:ascii="Arial" w:hAnsi="Arial" w:cs="Arial"/>
          <w:color w:val="943634" w:themeColor="accent2" w:themeShade="BF"/>
          <w:sz w:val="21"/>
          <w:szCs w:val="21"/>
        </w:rPr>
      </w:pPr>
      <w:r w:rsidRPr="00362F4E">
        <w:rPr>
          <w:rFonts w:ascii="Arial" w:hAnsi="Arial" w:cs="Arial"/>
          <w:color w:val="943634" w:themeColor="accent2" w:themeShade="BF"/>
          <w:sz w:val="21"/>
          <w:szCs w:val="21"/>
        </w:rPr>
        <w:t>Los MNP deben crearse por procedimiento público, trasparente e inclusivo en el que participe un grupo ampliamente representativo de las partes interesadas, en particular la sociedad civil. Este mismo tipo de proceso debe emplearse en la selección y nombramiento de los miembros del MNP, cuyos criterios deberían ser públicos.</w:t>
      </w:r>
    </w:p>
    <w:p w:rsidR="00FA7C05" w:rsidRDefault="00FA7C05" w:rsidP="0080338B">
      <w:pPr>
        <w:pStyle w:val="Sinespaciado1"/>
        <w:spacing w:line="276" w:lineRule="auto"/>
        <w:rPr>
          <w:rFonts w:ascii="Arial" w:hAnsi="Arial" w:cs="Arial"/>
          <w:b/>
          <w:color w:val="FFFFFF" w:themeColor="background1"/>
          <w:sz w:val="32"/>
          <w:szCs w:val="32"/>
          <w:highlight w:val="darkRed"/>
        </w:rPr>
      </w:pPr>
    </w:p>
    <w:p w:rsidR="0080338B" w:rsidRPr="00FA7C05" w:rsidRDefault="0080338B" w:rsidP="0080338B">
      <w:pPr>
        <w:pStyle w:val="Sinespaciado1"/>
        <w:spacing w:line="276" w:lineRule="auto"/>
        <w:rPr>
          <w:rFonts w:ascii="Arial" w:hAnsi="Arial" w:cs="Arial"/>
          <w:b/>
          <w:color w:val="FFFFFF" w:themeColor="background1"/>
          <w:sz w:val="34"/>
          <w:szCs w:val="34"/>
        </w:rPr>
      </w:pPr>
      <w:r w:rsidRPr="00FA7C05">
        <w:rPr>
          <w:rFonts w:ascii="Arial" w:hAnsi="Arial" w:cs="Arial"/>
          <w:b/>
          <w:color w:val="FFFFFF" w:themeColor="background1"/>
          <w:sz w:val="34"/>
          <w:szCs w:val="34"/>
          <w:highlight w:val="darkRed"/>
        </w:rPr>
        <w:t>Responsabilidades de los Estados</w:t>
      </w:r>
    </w:p>
    <w:p w:rsidR="0080338B" w:rsidRPr="002E7BF9" w:rsidRDefault="0080338B" w:rsidP="0080338B">
      <w:pPr>
        <w:pStyle w:val="Sinespaciado1"/>
        <w:spacing w:line="276" w:lineRule="auto"/>
      </w:pPr>
    </w:p>
    <w:p w:rsidR="0080338B" w:rsidRPr="001A1DA5" w:rsidRDefault="0080338B" w:rsidP="0080338B">
      <w:pPr>
        <w:pStyle w:val="Sinespaciado1"/>
        <w:spacing w:after="240" w:line="276" w:lineRule="auto"/>
        <w:jc w:val="both"/>
        <w:rPr>
          <w:rFonts w:ascii="Arial" w:hAnsi="Arial" w:cs="Arial"/>
          <w:color w:val="943634" w:themeColor="accent2" w:themeShade="BF"/>
        </w:rPr>
      </w:pPr>
      <w:r w:rsidRPr="00DB3CA0">
        <w:rPr>
          <w:rFonts w:ascii="Arial" w:hAnsi="Arial" w:cs="Arial"/>
          <w:color w:val="943634" w:themeColor="accent2" w:themeShade="BF"/>
        </w:rPr>
        <w:t xml:space="preserve">Los Estados deben examinar las recomendaciones realizadas por los MNP y entablar un diálogo con estos mecanismos para determinar las posibles medidas a aplicar. Asimismo, deben publicar y difundir los informes anuales de los MNP. </w:t>
      </w:r>
    </w:p>
    <w:p w:rsidR="0080338B" w:rsidRDefault="0080338B" w:rsidP="0080338B">
      <w:pPr>
        <w:pStyle w:val="Sinespaciado"/>
        <w:spacing w:line="276" w:lineRule="auto"/>
        <w:jc w:val="both"/>
        <w:rPr>
          <w:rFonts w:ascii="Arial" w:hAnsi="Arial" w:cs="Arial"/>
          <w:color w:val="943634" w:themeColor="accent2" w:themeShade="BF"/>
        </w:rPr>
      </w:pPr>
      <w:r w:rsidRPr="00E172DC">
        <w:rPr>
          <w:rFonts w:ascii="Arial" w:hAnsi="Arial" w:cs="Arial"/>
          <w:color w:val="943634" w:themeColor="accent2" w:themeShade="BF"/>
        </w:rPr>
        <w:lastRenderedPageBreak/>
        <w:t xml:space="preserve">Para garantizar el debido desempeño de las funciones de los </w:t>
      </w:r>
      <w:r>
        <w:rPr>
          <w:rFonts w:ascii="Arial" w:hAnsi="Arial" w:cs="Arial"/>
          <w:color w:val="943634" w:themeColor="accent2" w:themeShade="BF"/>
        </w:rPr>
        <w:t>MNP, los Estados tienen la obligación de</w:t>
      </w:r>
      <w:r w:rsidRPr="00E172DC">
        <w:rPr>
          <w:rFonts w:ascii="Arial" w:hAnsi="Arial" w:cs="Arial"/>
          <w:color w:val="943634" w:themeColor="accent2" w:themeShade="BF"/>
        </w:rPr>
        <w:t xml:space="preserve"> facilitar</w:t>
      </w:r>
      <w:r>
        <w:rPr>
          <w:rFonts w:ascii="Arial" w:hAnsi="Arial" w:cs="Arial"/>
          <w:color w:val="943634" w:themeColor="accent2" w:themeShade="BF"/>
        </w:rPr>
        <w:t xml:space="preserve"> su </w:t>
      </w:r>
      <w:r w:rsidRPr="00E172DC">
        <w:rPr>
          <w:rFonts w:ascii="Arial" w:hAnsi="Arial" w:cs="Arial"/>
          <w:color w:val="943634" w:themeColor="accent2" w:themeShade="BF"/>
        </w:rPr>
        <w:t xml:space="preserve">acceso </w:t>
      </w:r>
      <w:r>
        <w:rPr>
          <w:rFonts w:ascii="Arial" w:hAnsi="Arial" w:cs="Arial"/>
          <w:color w:val="943634" w:themeColor="accent2" w:themeShade="BF"/>
        </w:rPr>
        <w:t xml:space="preserve">a los lugares de privación de libertad, y </w:t>
      </w:r>
      <w:r w:rsidRPr="00E172DC">
        <w:rPr>
          <w:rFonts w:ascii="Arial" w:hAnsi="Arial" w:cs="Arial"/>
          <w:color w:val="943634" w:themeColor="accent2" w:themeShade="BF"/>
        </w:rPr>
        <w:t>a toda la información relativa al número d</w:t>
      </w:r>
      <w:r>
        <w:rPr>
          <w:rFonts w:ascii="Arial" w:hAnsi="Arial" w:cs="Arial"/>
          <w:color w:val="943634" w:themeColor="accent2" w:themeShade="BF"/>
        </w:rPr>
        <w:t xml:space="preserve">e personas privadas de libertad y el trato que reciben. </w:t>
      </w:r>
    </w:p>
    <w:p w:rsidR="0080338B" w:rsidRDefault="0080338B" w:rsidP="0080338B">
      <w:pPr>
        <w:pStyle w:val="Sinespaciado"/>
        <w:spacing w:line="276" w:lineRule="auto"/>
        <w:jc w:val="both"/>
        <w:rPr>
          <w:rFonts w:ascii="Arial" w:hAnsi="Arial" w:cs="Arial"/>
          <w:color w:val="943634" w:themeColor="accent2" w:themeShade="BF"/>
        </w:rPr>
      </w:pPr>
    </w:p>
    <w:p w:rsidR="005D66F9" w:rsidRPr="000F077C" w:rsidRDefault="0080338B" w:rsidP="005D66F9">
      <w:pPr>
        <w:pStyle w:val="Sinespaciado"/>
        <w:spacing w:line="276" w:lineRule="auto"/>
        <w:jc w:val="both"/>
        <w:rPr>
          <w:rFonts w:ascii="Arial" w:hAnsi="Arial" w:cs="Arial"/>
          <w:b/>
          <w:color w:val="943634" w:themeColor="accent2" w:themeShade="BF"/>
        </w:rPr>
      </w:pPr>
      <w:r>
        <w:rPr>
          <w:rFonts w:ascii="Arial" w:hAnsi="Arial" w:cs="Arial"/>
          <w:color w:val="943634" w:themeColor="accent2" w:themeShade="BF"/>
        </w:rPr>
        <w:t>Deben permitir</w:t>
      </w:r>
      <w:r w:rsidRPr="00E172DC">
        <w:rPr>
          <w:rFonts w:ascii="Arial" w:hAnsi="Arial" w:cs="Arial"/>
          <w:color w:val="943634" w:themeColor="accent2" w:themeShade="BF"/>
        </w:rPr>
        <w:t xml:space="preserve"> que los mecanismos seleccionen los lugares que deseen visitar, se entrevisten confidencialmente con la</w:t>
      </w:r>
      <w:r>
        <w:rPr>
          <w:rFonts w:ascii="Arial" w:hAnsi="Arial" w:cs="Arial"/>
          <w:color w:val="943634" w:themeColor="accent2" w:themeShade="BF"/>
        </w:rPr>
        <w:t>s personas privadas de libertad</w:t>
      </w:r>
      <w:r w:rsidRPr="00E172DC">
        <w:rPr>
          <w:rFonts w:ascii="Arial" w:hAnsi="Arial" w:cs="Arial"/>
          <w:color w:val="943634" w:themeColor="accent2" w:themeShade="BF"/>
        </w:rPr>
        <w:t xml:space="preserve">, y </w:t>
      </w:r>
      <w:r w:rsidRPr="000F077C">
        <w:rPr>
          <w:rFonts w:ascii="Arial" w:hAnsi="Arial" w:cs="Arial"/>
          <w:color w:val="943634" w:themeColor="accent2" w:themeShade="BF"/>
        </w:rPr>
        <w:t xml:space="preserve">mantengan contactos con el SPT. </w:t>
      </w:r>
      <w:r w:rsidR="009B262A" w:rsidRPr="000F077C">
        <w:rPr>
          <w:rFonts w:ascii="Arial" w:hAnsi="Arial" w:cs="Arial"/>
          <w:b/>
          <w:color w:val="943634" w:themeColor="accent2" w:themeShade="BF"/>
        </w:rPr>
        <w:tab/>
      </w:r>
    </w:p>
    <w:p w:rsidR="000F077C" w:rsidRPr="000F077C" w:rsidRDefault="000F077C" w:rsidP="005D66F9">
      <w:pPr>
        <w:pStyle w:val="Sinespaciado"/>
        <w:spacing w:line="276" w:lineRule="auto"/>
        <w:jc w:val="both"/>
        <w:rPr>
          <w:rFonts w:ascii="Arial" w:hAnsi="Arial" w:cs="Arial"/>
          <w:b/>
          <w:color w:val="943634" w:themeColor="accent2" w:themeShade="BF"/>
        </w:rPr>
      </w:pPr>
    </w:p>
    <w:p w:rsidR="00C820A9" w:rsidRDefault="000F077C" w:rsidP="00C820A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943634" w:themeColor="accent2" w:themeShade="BF"/>
        </w:rPr>
      </w:pPr>
      <w:r>
        <w:rPr>
          <w:rFonts w:ascii="Arial" w:hAnsi="Arial" w:cs="Arial"/>
          <w:color w:val="943634" w:themeColor="accent2" w:themeShade="BF"/>
        </w:rPr>
        <w:t xml:space="preserve">Asimismo, los Estados tienen la responsabilidad de </w:t>
      </w:r>
      <w:r w:rsidR="00C820A9">
        <w:rPr>
          <w:rFonts w:ascii="Arial" w:hAnsi="Arial" w:cs="Arial"/>
          <w:color w:val="943634" w:themeColor="accent2" w:themeShade="BF"/>
        </w:rPr>
        <w:t>asegurar que no se castiguen o sancionen a personas u organizaciones por haberse comunicado con el MNP</w:t>
      </w:r>
      <w:r w:rsidRPr="000F077C">
        <w:rPr>
          <w:rFonts w:ascii="Arial" w:hAnsi="Arial" w:cs="Arial"/>
          <w:color w:val="943634" w:themeColor="accent2" w:themeShade="BF"/>
        </w:rPr>
        <w:t>.</w:t>
      </w:r>
      <w:r w:rsidR="00C820A9">
        <w:rPr>
          <w:rFonts w:ascii="Arial" w:hAnsi="Arial" w:cs="Arial"/>
          <w:color w:val="943634" w:themeColor="accent2" w:themeShade="BF"/>
        </w:rPr>
        <w:t xml:space="preserve"> </w:t>
      </w:r>
    </w:p>
    <w:p w:rsidR="00C820A9" w:rsidRDefault="00C820A9" w:rsidP="00C820A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943634" w:themeColor="accent2" w:themeShade="BF"/>
        </w:rPr>
      </w:pPr>
    </w:p>
    <w:p w:rsidR="00FA7C05" w:rsidRPr="000F077C" w:rsidRDefault="00C820A9" w:rsidP="00C820A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943634" w:themeColor="accent2" w:themeShade="BF"/>
        </w:rPr>
      </w:pPr>
      <w:r>
        <w:rPr>
          <w:rFonts w:ascii="Arial" w:hAnsi="Arial" w:cs="Arial"/>
          <w:color w:val="943634" w:themeColor="accent2" w:themeShade="BF"/>
        </w:rPr>
        <w:t xml:space="preserve">La </w:t>
      </w:r>
      <w:r w:rsidR="000F077C" w:rsidRPr="000F077C">
        <w:rPr>
          <w:rFonts w:ascii="Arial" w:hAnsi="Arial" w:cs="Arial"/>
          <w:color w:val="943634" w:themeColor="accent2" w:themeShade="BF"/>
        </w:rPr>
        <w:t xml:space="preserve">información </w:t>
      </w:r>
      <w:r>
        <w:rPr>
          <w:rFonts w:ascii="Arial" w:hAnsi="Arial" w:cs="Arial"/>
          <w:color w:val="943634" w:themeColor="accent2" w:themeShade="BF"/>
        </w:rPr>
        <w:t>recogida por estos mecanismos es confidencial. Al recibir informes de los MNP, el Estado también debe resguardar su confidencialidad y no podrá</w:t>
      </w:r>
      <w:r w:rsidR="000F077C">
        <w:rPr>
          <w:rFonts w:ascii="Arial" w:hAnsi="Arial" w:cs="Arial"/>
          <w:color w:val="943634" w:themeColor="accent2" w:themeShade="BF"/>
        </w:rPr>
        <w:t xml:space="preserve"> </w:t>
      </w:r>
      <w:r w:rsidR="000F077C" w:rsidRPr="000F077C">
        <w:rPr>
          <w:rFonts w:ascii="Arial" w:hAnsi="Arial" w:cs="Arial"/>
          <w:color w:val="943634" w:themeColor="accent2" w:themeShade="BF"/>
        </w:rPr>
        <w:t>pu</w:t>
      </w:r>
      <w:r>
        <w:rPr>
          <w:rFonts w:ascii="Arial" w:hAnsi="Arial" w:cs="Arial"/>
          <w:color w:val="943634" w:themeColor="accent2" w:themeShade="BF"/>
        </w:rPr>
        <w:t>blicar datos personales o información reservada</w:t>
      </w:r>
      <w:r w:rsidR="000F077C" w:rsidRPr="000F077C">
        <w:rPr>
          <w:rFonts w:ascii="Arial" w:hAnsi="Arial" w:cs="Arial"/>
          <w:color w:val="943634" w:themeColor="accent2" w:themeShade="BF"/>
        </w:rPr>
        <w:t>.</w:t>
      </w:r>
    </w:p>
    <w:p w:rsidR="00C820A9" w:rsidRPr="00FA7C05" w:rsidRDefault="00C820A9" w:rsidP="00FA7C05">
      <w:pPr>
        <w:pStyle w:val="Sinespaciado"/>
        <w:spacing w:line="276" w:lineRule="auto"/>
        <w:rPr>
          <w:rFonts w:ascii="Arial" w:hAnsi="Arial" w:cs="Arial"/>
          <w:b/>
          <w:color w:val="943634" w:themeColor="accent2" w:themeShade="BF"/>
          <w:sz w:val="32"/>
          <w:szCs w:val="32"/>
        </w:rPr>
      </w:pPr>
    </w:p>
    <w:p w:rsidR="00E9188F" w:rsidRPr="00FA7C05" w:rsidRDefault="00E9188F" w:rsidP="00FA7C05">
      <w:pPr>
        <w:pStyle w:val="Sinespaciado"/>
        <w:spacing w:line="276" w:lineRule="auto"/>
        <w:rPr>
          <w:rFonts w:ascii="Arial" w:hAnsi="Arial" w:cs="Arial"/>
          <w:b/>
          <w:color w:val="FFFFFF" w:themeColor="background1"/>
          <w:sz w:val="36"/>
          <w:szCs w:val="36"/>
        </w:rPr>
      </w:pPr>
      <w:proofErr w:type="spellStart"/>
      <w:r w:rsidRPr="00FA7C05">
        <w:rPr>
          <w:rFonts w:ascii="Arial" w:hAnsi="Arial" w:cs="Arial"/>
          <w:b/>
          <w:color w:val="FFFFFF" w:themeColor="background1"/>
          <w:sz w:val="36"/>
          <w:szCs w:val="36"/>
          <w:highlight w:val="darkRed"/>
        </w:rPr>
        <w:t>MNPs</w:t>
      </w:r>
      <w:proofErr w:type="spellEnd"/>
      <w:r w:rsidRPr="00FA7C05">
        <w:rPr>
          <w:rFonts w:ascii="Arial" w:hAnsi="Arial" w:cs="Arial"/>
          <w:b/>
          <w:color w:val="FFFFFF" w:themeColor="background1"/>
          <w:sz w:val="36"/>
          <w:szCs w:val="36"/>
          <w:highlight w:val="darkRed"/>
        </w:rPr>
        <w:t xml:space="preserve"> en América del Sur</w:t>
      </w:r>
    </w:p>
    <w:p w:rsidR="00E9188F" w:rsidRPr="00382416" w:rsidRDefault="00E9188F" w:rsidP="00F139A5">
      <w:pPr>
        <w:pStyle w:val="Sinespaciado1"/>
        <w:rPr>
          <w:sz w:val="20"/>
          <w:szCs w:val="20"/>
        </w:rPr>
      </w:pPr>
    </w:p>
    <w:p w:rsidR="006A0277" w:rsidRDefault="00E9188F" w:rsidP="005D66F9">
      <w:pPr>
        <w:pStyle w:val="Sinespaciado"/>
        <w:spacing w:line="276" w:lineRule="auto"/>
        <w:jc w:val="both"/>
        <w:rPr>
          <w:rFonts w:ascii="Arial" w:hAnsi="Arial" w:cs="Arial"/>
          <w:color w:val="943634" w:themeColor="accent2" w:themeShade="BF"/>
        </w:rPr>
      </w:pPr>
      <w:r w:rsidRPr="00E9188F">
        <w:rPr>
          <w:rFonts w:ascii="Arial" w:hAnsi="Arial" w:cs="Arial"/>
          <w:color w:val="943634" w:themeColor="accent2" w:themeShade="BF"/>
        </w:rPr>
        <w:t>La mayoría de los países de la región se encuentra trabajando en di</w:t>
      </w:r>
      <w:r w:rsidR="00F139A5">
        <w:rPr>
          <w:rFonts w:ascii="Arial" w:hAnsi="Arial" w:cs="Arial"/>
          <w:color w:val="943634" w:themeColor="accent2" w:themeShade="BF"/>
        </w:rPr>
        <w:t>stintas etapas de establecimiento de un MNP</w:t>
      </w:r>
      <w:r w:rsidR="000A0534">
        <w:rPr>
          <w:rFonts w:ascii="Arial" w:hAnsi="Arial" w:cs="Arial"/>
          <w:color w:val="943634" w:themeColor="accent2" w:themeShade="BF"/>
        </w:rPr>
        <w:t xml:space="preserve"> para</w:t>
      </w:r>
      <w:r w:rsidRPr="00E9188F">
        <w:rPr>
          <w:rFonts w:ascii="Arial" w:hAnsi="Arial" w:cs="Arial"/>
          <w:color w:val="943634" w:themeColor="accent2" w:themeShade="BF"/>
        </w:rPr>
        <w:t xml:space="preserve"> así implementar efectivam</w:t>
      </w:r>
      <w:r w:rsidR="000A0534">
        <w:rPr>
          <w:rFonts w:ascii="Arial" w:hAnsi="Arial" w:cs="Arial"/>
          <w:color w:val="943634" w:themeColor="accent2" w:themeShade="BF"/>
        </w:rPr>
        <w:t>ente el OPCAT</w:t>
      </w:r>
      <w:r w:rsidRPr="00E9188F">
        <w:rPr>
          <w:rFonts w:ascii="Arial" w:hAnsi="Arial" w:cs="Arial"/>
          <w:color w:val="943634" w:themeColor="accent2" w:themeShade="BF"/>
        </w:rPr>
        <w:t>.</w:t>
      </w:r>
      <w:r w:rsidR="00E306DD">
        <w:rPr>
          <w:rFonts w:ascii="Arial" w:hAnsi="Arial" w:cs="Arial"/>
          <w:color w:val="943634" w:themeColor="accent2" w:themeShade="BF"/>
        </w:rPr>
        <w:t xml:space="preserve"> </w:t>
      </w:r>
      <w:r w:rsidR="00A71809" w:rsidRPr="00E9188F">
        <w:rPr>
          <w:rFonts w:ascii="Arial" w:hAnsi="Arial" w:cs="Arial"/>
          <w:color w:val="943634" w:themeColor="accent2" w:themeShade="BF"/>
        </w:rPr>
        <w:t>La Oficina Regional para América del Sur de</w:t>
      </w:r>
      <w:r w:rsidR="00DB1B5C" w:rsidRPr="00E9188F">
        <w:rPr>
          <w:rFonts w:ascii="Arial" w:hAnsi="Arial" w:cs="Arial"/>
          <w:color w:val="943634" w:themeColor="accent2" w:themeShade="BF"/>
        </w:rPr>
        <w:t>l</w:t>
      </w:r>
      <w:r w:rsidR="00A71809" w:rsidRPr="00E9188F">
        <w:rPr>
          <w:rFonts w:ascii="Arial" w:hAnsi="Arial" w:cs="Arial"/>
          <w:color w:val="943634" w:themeColor="accent2" w:themeShade="BF"/>
        </w:rPr>
        <w:t xml:space="preserve"> ACNUDH apoya y promueve la creación de est</w:t>
      </w:r>
      <w:r w:rsidR="00DB1B5C" w:rsidRPr="00E9188F">
        <w:rPr>
          <w:rFonts w:ascii="Arial" w:hAnsi="Arial" w:cs="Arial"/>
          <w:color w:val="943634" w:themeColor="accent2" w:themeShade="BF"/>
        </w:rPr>
        <w:t xml:space="preserve">os mecanismos en todos </w:t>
      </w:r>
      <w:r w:rsidR="00103707">
        <w:rPr>
          <w:rFonts w:ascii="Arial" w:hAnsi="Arial" w:cs="Arial"/>
          <w:color w:val="943634" w:themeColor="accent2" w:themeShade="BF"/>
        </w:rPr>
        <w:t>sus países</w:t>
      </w:r>
      <w:r w:rsidR="00471C70">
        <w:rPr>
          <w:rFonts w:ascii="Arial" w:hAnsi="Arial" w:cs="Arial"/>
          <w:color w:val="943634" w:themeColor="accent2" w:themeShade="BF"/>
        </w:rPr>
        <w:t xml:space="preserve"> de cobertura</w:t>
      </w:r>
      <w:r w:rsidR="005D66F9">
        <w:rPr>
          <w:rFonts w:ascii="Arial" w:hAnsi="Arial" w:cs="Arial"/>
          <w:color w:val="943634" w:themeColor="accent2" w:themeShade="BF"/>
        </w:rPr>
        <w:t>.</w:t>
      </w:r>
    </w:p>
    <w:p w:rsidR="0080338B" w:rsidRPr="00382416" w:rsidRDefault="0080338B" w:rsidP="005D66F9">
      <w:pPr>
        <w:pStyle w:val="Sinespaciado"/>
        <w:spacing w:line="276" w:lineRule="auto"/>
        <w:jc w:val="both"/>
        <w:rPr>
          <w:rFonts w:ascii="Arial" w:hAnsi="Arial" w:cs="Arial"/>
          <w:color w:val="943634" w:themeColor="accent2" w:themeShade="BF"/>
          <w:sz w:val="20"/>
          <w:szCs w:val="20"/>
        </w:rPr>
      </w:pPr>
    </w:p>
    <w:p w:rsidR="00A351B4" w:rsidRPr="009B262A" w:rsidRDefault="00A351B4" w:rsidP="00A351B4">
      <w:pPr>
        <w:pStyle w:val="Sinespaciado"/>
        <w:spacing w:line="276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darkRed"/>
        </w:rPr>
      </w:pPr>
      <w:r w:rsidRPr="009B262A">
        <w:rPr>
          <w:rFonts w:ascii="Arial" w:hAnsi="Arial" w:cs="Arial"/>
          <w:b/>
          <w:color w:val="FFFFFF" w:themeColor="background1"/>
          <w:sz w:val="36"/>
          <w:szCs w:val="36"/>
          <w:highlight w:val="darkRed"/>
        </w:rPr>
        <w:t>Estados Partes al OPCAT</w:t>
      </w:r>
    </w:p>
    <w:p w:rsidR="00A351B4" w:rsidRPr="00C3138B" w:rsidRDefault="00A351B4" w:rsidP="00A351B4">
      <w:pPr>
        <w:pStyle w:val="Sinespaciado"/>
        <w:spacing w:line="276" w:lineRule="auto"/>
        <w:jc w:val="both"/>
        <w:rPr>
          <w:rFonts w:ascii="Arial" w:hAnsi="Arial" w:cs="Arial"/>
          <w:b/>
          <w:color w:val="FFFFFF" w:themeColor="background1"/>
          <w:sz w:val="16"/>
          <w:szCs w:val="16"/>
          <w:highlight w:val="darkRed"/>
        </w:rPr>
      </w:pPr>
    </w:p>
    <w:p w:rsidR="00A351B4" w:rsidRDefault="00A351B4" w:rsidP="004A1E14">
      <w:pPr>
        <w:pStyle w:val="Sinespaciado"/>
        <w:spacing w:line="276" w:lineRule="auto"/>
        <w:jc w:val="both"/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</w:pPr>
      <w:r w:rsidRPr="004A1E14"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  <w:t>A marzo de 2012, el OPCAT ha sido firmado por 71 países y ratificado por 62.</w:t>
      </w:r>
      <w:r w:rsidRPr="004A1E14">
        <w:rPr>
          <w:rFonts w:ascii="Arial" w:hAnsi="Arial" w:cs="Arial"/>
          <w:color w:val="FFFFFF" w:themeColor="background1"/>
          <w:sz w:val="24"/>
          <w:szCs w:val="24"/>
          <w:highlight w:val="darkRed"/>
        </w:rPr>
        <w:t xml:space="preserve"> </w:t>
      </w:r>
      <w:r w:rsidRPr="004A1E14"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  <w:t>En América del Sur, Argentina, Bolivia, Brasil, Chile, Ecuador, Paraguay, Perú y Uruguay son Estados Partes. Venezuela lo firmó en 2011.</w:t>
      </w:r>
    </w:p>
    <w:p w:rsidR="004C5E70" w:rsidRDefault="004C5E70" w:rsidP="004A1E14">
      <w:pPr>
        <w:pStyle w:val="Sinespaciado"/>
        <w:spacing w:line="276" w:lineRule="auto"/>
        <w:jc w:val="both"/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</w:pPr>
      <w:r>
        <w:rPr>
          <w:rFonts w:ascii="Arial" w:hAnsi="Arial" w:cs="Arial"/>
          <w:b/>
          <w:noProof/>
          <w:color w:val="FFFFFF" w:themeColor="background1"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37465</wp:posOffset>
            </wp:positionV>
            <wp:extent cx="3023870" cy="1571625"/>
            <wp:effectExtent l="19050" t="0" r="5080" b="0"/>
            <wp:wrapSquare wrapText="bothSides"/>
            <wp:docPr id="2" name="0 Imagen" descr="logotipo acnudh negr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 acnudh negr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E70" w:rsidRDefault="004C5E70" w:rsidP="004A1E14">
      <w:pPr>
        <w:pStyle w:val="Sinespaciado"/>
        <w:spacing w:line="276" w:lineRule="auto"/>
        <w:jc w:val="both"/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</w:pPr>
    </w:p>
    <w:p w:rsidR="004C5E70" w:rsidRDefault="004C5E70" w:rsidP="004A1E14">
      <w:pPr>
        <w:pStyle w:val="Sinespaciado"/>
        <w:spacing w:line="276" w:lineRule="auto"/>
        <w:jc w:val="both"/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</w:pPr>
    </w:p>
    <w:p w:rsidR="004C5E70" w:rsidRDefault="004C5E70" w:rsidP="004A1E14">
      <w:pPr>
        <w:pStyle w:val="Sinespaciado"/>
        <w:spacing w:line="276" w:lineRule="auto"/>
        <w:jc w:val="both"/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</w:pPr>
    </w:p>
    <w:p w:rsidR="004C5E70" w:rsidRDefault="004C5E70" w:rsidP="004A1E14">
      <w:pPr>
        <w:pStyle w:val="Sinespaciado"/>
        <w:spacing w:line="276" w:lineRule="auto"/>
        <w:jc w:val="both"/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</w:pPr>
    </w:p>
    <w:p w:rsidR="004C5E70" w:rsidRDefault="004C5E70" w:rsidP="004A1E14">
      <w:pPr>
        <w:pStyle w:val="Sinespaciado"/>
        <w:spacing w:line="276" w:lineRule="auto"/>
        <w:jc w:val="both"/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</w:pPr>
    </w:p>
    <w:p w:rsidR="004C5E70" w:rsidRPr="004A1E14" w:rsidRDefault="004C5E70" w:rsidP="004A1E14">
      <w:pPr>
        <w:pStyle w:val="Sinespaciado"/>
        <w:spacing w:line="276" w:lineRule="auto"/>
        <w:jc w:val="both"/>
        <w:rPr>
          <w:rFonts w:ascii="Arial" w:hAnsi="Arial" w:cs="Arial"/>
          <w:b/>
          <w:color w:val="FFFFFF" w:themeColor="background1"/>
          <w:sz w:val="24"/>
          <w:szCs w:val="24"/>
          <w:highlight w:val="darkRed"/>
        </w:rPr>
      </w:pPr>
    </w:p>
    <w:p w:rsidR="0080338B" w:rsidRPr="00FA7C05" w:rsidRDefault="0080338B" w:rsidP="005D66F9">
      <w:pPr>
        <w:pStyle w:val="Sinespaciado"/>
        <w:spacing w:line="276" w:lineRule="auto"/>
        <w:jc w:val="both"/>
        <w:rPr>
          <w:rFonts w:ascii="Arial" w:hAnsi="Arial" w:cs="Arial"/>
          <w:color w:val="943634" w:themeColor="accent2" w:themeShade="BF"/>
          <w:sz w:val="20"/>
          <w:szCs w:val="20"/>
        </w:rPr>
      </w:pPr>
    </w:p>
    <w:p w:rsidR="00582CC4" w:rsidRPr="00382416" w:rsidRDefault="00582CC4" w:rsidP="005D66F9">
      <w:pPr>
        <w:pStyle w:val="Sinespaciado"/>
        <w:spacing w:line="276" w:lineRule="auto"/>
        <w:jc w:val="both"/>
        <w:rPr>
          <w:rFonts w:ascii="Arial" w:hAnsi="Arial" w:cs="Arial"/>
          <w:color w:val="943634" w:themeColor="accent2" w:themeShade="BF"/>
          <w:sz w:val="20"/>
          <w:szCs w:val="20"/>
        </w:rPr>
      </w:pPr>
    </w:p>
    <w:p w:rsidR="005D66F9" w:rsidRPr="003F2C33" w:rsidRDefault="000B28A1" w:rsidP="005D66F9">
      <w:pPr>
        <w:pStyle w:val="Sinespaciado"/>
        <w:spacing w:line="276" w:lineRule="auto"/>
        <w:jc w:val="center"/>
        <w:rPr>
          <w:rFonts w:ascii="Arial" w:hAnsi="Arial" w:cs="Arial"/>
          <w:color w:val="943634" w:themeColor="accent2" w:themeShade="BF"/>
          <w:sz w:val="20"/>
          <w:szCs w:val="20"/>
        </w:rPr>
      </w:pPr>
      <w:r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 xml:space="preserve">Av. </w:t>
      </w:r>
      <w:proofErr w:type="spellStart"/>
      <w:r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>Dag</w:t>
      </w:r>
      <w:proofErr w:type="spellEnd"/>
      <w:r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 xml:space="preserve"> </w:t>
      </w:r>
      <w:proofErr w:type="spellStart"/>
      <w:r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>Hammarskj</w:t>
      </w:r>
      <w:r w:rsidR="00B279A4"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>ӧ</w:t>
      </w:r>
      <w:r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>ld</w:t>
      </w:r>
      <w:proofErr w:type="spellEnd"/>
      <w:r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 xml:space="preserve"> 3269, Vitacura, Santiago, CHILE</w:t>
      </w:r>
    </w:p>
    <w:p w:rsidR="005D66F9" w:rsidRPr="003F2C33" w:rsidRDefault="000B28A1" w:rsidP="005D66F9">
      <w:pPr>
        <w:pStyle w:val="Sinespaciado"/>
        <w:jc w:val="center"/>
        <w:rPr>
          <w:rStyle w:val="Hipervnculo"/>
          <w:rFonts w:ascii="Arial" w:hAnsi="Arial" w:cs="Arial"/>
          <w:color w:val="943634" w:themeColor="accent2" w:themeShade="BF"/>
          <w:sz w:val="20"/>
          <w:szCs w:val="20"/>
        </w:rPr>
      </w:pPr>
      <w:r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>Tel: (56 2) 321-7750        ohchr-santiago</w:t>
      </w:r>
      <w:r w:rsidR="00B279A4" w:rsidRPr="003F2C33">
        <w:rPr>
          <w:rFonts w:cstheme="minorHAnsi"/>
          <w:color w:val="943634" w:themeColor="accent2" w:themeShade="BF"/>
        </w:rPr>
        <w:t>@</w:t>
      </w:r>
      <w:r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>ohchr.org</w:t>
      </w:r>
    </w:p>
    <w:p w:rsidR="005D66F9" w:rsidRPr="003F2C33" w:rsidRDefault="00555F90" w:rsidP="005D66F9">
      <w:pPr>
        <w:pStyle w:val="Sinespaciado"/>
        <w:jc w:val="center"/>
        <w:rPr>
          <w:rFonts w:ascii="Arial" w:hAnsi="Arial" w:cs="Arial"/>
          <w:b/>
          <w:color w:val="943634" w:themeColor="accent2" w:themeShade="BF"/>
          <w:sz w:val="20"/>
          <w:szCs w:val="20"/>
        </w:rPr>
      </w:pPr>
      <w:hyperlink r:id="rId10" w:history="1">
        <w:r w:rsidR="000B28A1" w:rsidRPr="003F2C33">
          <w:rPr>
            <w:rStyle w:val="Hipervnculo"/>
            <w:rFonts w:ascii="Arial" w:hAnsi="Arial" w:cs="Arial"/>
            <w:b/>
            <w:color w:val="943634" w:themeColor="accent2" w:themeShade="BF"/>
            <w:sz w:val="20"/>
            <w:szCs w:val="20"/>
          </w:rPr>
          <w:t>http://acnudh.org</w:t>
        </w:r>
      </w:hyperlink>
      <w:r w:rsidR="000B28A1" w:rsidRPr="003F2C33">
        <w:rPr>
          <w:rFonts w:ascii="Arial" w:hAnsi="Arial" w:cs="Arial"/>
          <w:b/>
          <w:color w:val="943634" w:themeColor="accent2" w:themeShade="BF"/>
          <w:sz w:val="20"/>
          <w:szCs w:val="20"/>
        </w:rPr>
        <w:t xml:space="preserve">    </w:t>
      </w:r>
      <w:hyperlink r:id="rId11" w:history="1">
        <w:r w:rsidR="000B28A1" w:rsidRPr="003F2C33">
          <w:rPr>
            <w:rStyle w:val="Hipervnculo"/>
            <w:rFonts w:ascii="Arial" w:hAnsi="Arial" w:cs="Arial"/>
            <w:b/>
            <w:color w:val="943634" w:themeColor="accent2" w:themeShade="BF"/>
            <w:sz w:val="20"/>
            <w:szCs w:val="20"/>
          </w:rPr>
          <w:t>www.ohchr.org</w:t>
        </w:r>
      </w:hyperlink>
    </w:p>
    <w:p w:rsidR="00A71809" w:rsidRPr="009A6ABA" w:rsidRDefault="00A71809" w:rsidP="00A71809">
      <w:pPr>
        <w:rPr>
          <w:color w:val="943634" w:themeColor="accent2" w:themeShade="BF"/>
          <w:sz w:val="16"/>
          <w:szCs w:val="16"/>
        </w:rPr>
      </w:pPr>
    </w:p>
    <w:p w:rsidR="00A71809" w:rsidRPr="009A6ABA" w:rsidRDefault="00A71809" w:rsidP="00A71809">
      <w:pPr>
        <w:rPr>
          <w:color w:val="943634" w:themeColor="accent2" w:themeShade="BF"/>
        </w:rPr>
      </w:pPr>
    </w:p>
    <w:p w:rsidR="00A71809" w:rsidRPr="009A6ABA" w:rsidRDefault="00A71809" w:rsidP="00A71809">
      <w:pPr>
        <w:rPr>
          <w:color w:val="943634" w:themeColor="accent2" w:themeShade="BF"/>
        </w:rPr>
      </w:pPr>
    </w:p>
    <w:p w:rsidR="007C25C4" w:rsidRPr="006A0277" w:rsidRDefault="007C25C4" w:rsidP="007C25C4">
      <w:pPr>
        <w:rPr>
          <w:rFonts w:ascii="Verdana" w:hAnsi="Verdana"/>
          <w:b/>
          <w:color w:val="943634" w:themeColor="accent2" w:themeShade="BF"/>
          <w:sz w:val="56"/>
          <w:szCs w:val="56"/>
        </w:rPr>
      </w:pPr>
    </w:p>
    <w:p w:rsidR="000D21D2" w:rsidRDefault="000D21D2" w:rsidP="007C25C4">
      <w:pPr>
        <w:rPr>
          <w:rFonts w:ascii="Verdana" w:hAnsi="Verdana"/>
          <w:b/>
          <w:color w:val="943634" w:themeColor="accent2" w:themeShade="BF"/>
          <w:sz w:val="56"/>
          <w:szCs w:val="56"/>
        </w:rPr>
      </w:pPr>
    </w:p>
    <w:p w:rsidR="006A0277" w:rsidRPr="006A0277" w:rsidRDefault="006A0277" w:rsidP="007C25C4">
      <w:pPr>
        <w:rPr>
          <w:rFonts w:ascii="Verdana" w:hAnsi="Verdana"/>
          <w:b/>
          <w:color w:val="943634" w:themeColor="accent2" w:themeShade="BF"/>
          <w:sz w:val="56"/>
          <w:szCs w:val="56"/>
        </w:rPr>
      </w:pPr>
    </w:p>
    <w:p w:rsidR="00201266" w:rsidRPr="006A0277" w:rsidRDefault="00201266" w:rsidP="004C5E70">
      <w:pPr>
        <w:pStyle w:val="Sinespaciado"/>
        <w:rPr>
          <w:rFonts w:ascii="Verdana" w:hAnsi="Verdana"/>
          <w:b/>
          <w:bCs/>
          <w:color w:val="943634" w:themeColor="accent2" w:themeShade="BF"/>
          <w:sz w:val="32"/>
          <w:szCs w:val="32"/>
        </w:rPr>
      </w:pPr>
    </w:p>
    <w:sectPr w:rsidR="00201266" w:rsidRPr="006A0277" w:rsidSect="004C5E70">
      <w:pgSz w:w="12240" w:h="20160" w:code="5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25D" w:rsidRDefault="00C0025D" w:rsidP="008745EF">
      <w:pPr>
        <w:spacing w:after="0" w:line="240" w:lineRule="auto"/>
      </w:pPr>
      <w:r>
        <w:separator/>
      </w:r>
    </w:p>
  </w:endnote>
  <w:endnote w:type="continuationSeparator" w:id="0">
    <w:p w:rsidR="00C0025D" w:rsidRDefault="00C0025D" w:rsidP="00874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25D" w:rsidRDefault="00C0025D" w:rsidP="008745EF">
      <w:pPr>
        <w:spacing w:after="0" w:line="240" w:lineRule="auto"/>
      </w:pPr>
      <w:r>
        <w:separator/>
      </w:r>
    </w:p>
  </w:footnote>
  <w:footnote w:type="continuationSeparator" w:id="0">
    <w:p w:rsidR="00C0025D" w:rsidRDefault="00C0025D" w:rsidP="00874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17A14"/>
    <w:multiLevelType w:val="hybridMultilevel"/>
    <w:tmpl w:val="51B88A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2698C"/>
    <w:multiLevelType w:val="hybridMultilevel"/>
    <w:tmpl w:val="5B3EDC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E7ED6"/>
    <w:multiLevelType w:val="hybridMultilevel"/>
    <w:tmpl w:val="757EC8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A4A22"/>
    <w:multiLevelType w:val="hybridMultilevel"/>
    <w:tmpl w:val="F02EA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558D8"/>
    <w:multiLevelType w:val="hybridMultilevel"/>
    <w:tmpl w:val="4E5CB4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B31D0"/>
    <w:multiLevelType w:val="hybridMultilevel"/>
    <w:tmpl w:val="F8E05E7E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91F6889"/>
    <w:multiLevelType w:val="multilevel"/>
    <w:tmpl w:val="27BE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3A00D2"/>
    <w:multiLevelType w:val="multilevel"/>
    <w:tmpl w:val="6118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002961"/>
    <w:multiLevelType w:val="hybridMultilevel"/>
    <w:tmpl w:val="C972BFE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017B1"/>
    <w:multiLevelType w:val="hybridMultilevel"/>
    <w:tmpl w:val="2F2C070E"/>
    <w:lvl w:ilvl="0" w:tplc="79645A1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DejaVu Sans" w:hAnsi="Arial Narrow" w:cs="DejaVu Sans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7F65C7"/>
    <w:multiLevelType w:val="hybridMultilevel"/>
    <w:tmpl w:val="97AACB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3B60EB"/>
    <w:multiLevelType w:val="multilevel"/>
    <w:tmpl w:val="55D2CC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eastAsia="Times New Roman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10"/>
  </w:num>
  <w:num w:numId="7">
    <w:abstractNumId w:val="1"/>
  </w:num>
  <w:num w:numId="8">
    <w:abstractNumId w:val="9"/>
  </w:num>
  <w:num w:numId="9">
    <w:abstractNumId w:val="0"/>
  </w:num>
  <w:num w:numId="10">
    <w:abstractNumId w:val="4"/>
  </w:num>
  <w:num w:numId="11">
    <w:abstractNumId w:val="8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45EF"/>
    <w:rsid w:val="00020AFE"/>
    <w:rsid w:val="000760A2"/>
    <w:rsid w:val="000A0534"/>
    <w:rsid w:val="000B28A1"/>
    <w:rsid w:val="000B4AB1"/>
    <w:rsid w:val="000D21D2"/>
    <w:rsid w:val="000D79FB"/>
    <w:rsid w:val="000E1F88"/>
    <w:rsid w:val="000E4D2C"/>
    <w:rsid w:val="000F077C"/>
    <w:rsid w:val="00103707"/>
    <w:rsid w:val="00111B13"/>
    <w:rsid w:val="00116BE5"/>
    <w:rsid w:val="00122435"/>
    <w:rsid w:val="001244C2"/>
    <w:rsid w:val="00126CE6"/>
    <w:rsid w:val="00142094"/>
    <w:rsid w:val="00147A76"/>
    <w:rsid w:val="00150868"/>
    <w:rsid w:val="001574E6"/>
    <w:rsid w:val="00171E73"/>
    <w:rsid w:val="001734C4"/>
    <w:rsid w:val="00180C3C"/>
    <w:rsid w:val="001862EC"/>
    <w:rsid w:val="00186D56"/>
    <w:rsid w:val="001A1DA5"/>
    <w:rsid w:val="001A45C7"/>
    <w:rsid w:val="001E6CB8"/>
    <w:rsid w:val="00201266"/>
    <w:rsid w:val="00202343"/>
    <w:rsid w:val="00212A1D"/>
    <w:rsid w:val="002231DF"/>
    <w:rsid w:val="002364CB"/>
    <w:rsid w:val="0023664E"/>
    <w:rsid w:val="002622FC"/>
    <w:rsid w:val="00277413"/>
    <w:rsid w:val="0028484E"/>
    <w:rsid w:val="00290E7F"/>
    <w:rsid w:val="002A78F6"/>
    <w:rsid w:val="002C3232"/>
    <w:rsid w:val="002D37C0"/>
    <w:rsid w:val="002E332C"/>
    <w:rsid w:val="002E7BF9"/>
    <w:rsid w:val="002F0D12"/>
    <w:rsid w:val="002F644C"/>
    <w:rsid w:val="0031124F"/>
    <w:rsid w:val="00322ED8"/>
    <w:rsid w:val="0033480F"/>
    <w:rsid w:val="00335090"/>
    <w:rsid w:val="00343DC8"/>
    <w:rsid w:val="00353CDA"/>
    <w:rsid w:val="00362F4E"/>
    <w:rsid w:val="00382416"/>
    <w:rsid w:val="003950CA"/>
    <w:rsid w:val="00396454"/>
    <w:rsid w:val="003C5A60"/>
    <w:rsid w:val="003F2C33"/>
    <w:rsid w:val="00403EBA"/>
    <w:rsid w:val="00452750"/>
    <w:rsid w:val="00471C70"/>
    <w:rsid w:val="00496C8E"/>
    <w:rsid w:val="004A1E14"/>
    <w:rsid w:val="004C5E70"/>
    <w:rsid w:val="004D2551"/>
    <w:rsid w:val="004D38F7"/>
    <w:rsid w:val="004D3C0C"/>
    <w:rsid w:val="004D57D4"/>
    <w:rsid w:val="004E39FF"/>
    <w:rsid w:val="00521156"/>
    <w:rsid w:val="00543858"/>
    <w:rsid w:val="00545084"/>
    <w:rsid w:val="00547196"/>
    <w:rsid w:val="00555F90"/>
    <w:rsid w:val="005624B3"/>
    <w:rsid w:val="00582CC4"/>
    <w:rsid w:val="005874E8"/>
    <w:rsid w:val="00596E39"/>
    <w:rsid w:val="005976C2"/>
    <w:rsid w:val="005C1E4C"/>
    <w:rsid w:val="005C3094"/>
    <w:rsid w:val="005D1C77"/>
    <w:rsid w:val="005D66F9"/>
    <w:rsid w:val="005D7561"/>
    <w:rsid w:val="005D7615"/>
    <w:rsid w:val="005E02A4"/>
    <w:rsid w:val="005E15AC"/>
    <w:rsid w:val="005E2A84"/>
    <w:rsid w:val="005F2AB7"/>
    <w:rsid w:val="005F5E8B"/>
    <w:rsid w:val="00622D67"/>
    <w:rsid w:val="00630336"/>
    <w:rsid w:val="00632DE0"/>
    <w:rsid w:val="00650F1B"/>
    <w:rsid w:val="0066303C"/>
    <w:rsid w:val="00685BD0"/>
    <w:rsid w:val="006A0277"/>
    <w:rsid w:val="006A12D6"/>
    <w:rsid w:val="006A297F"/>
    <w:rsid w:val="006B2EE0"/>
    <w:rsid w:val="006B4511"/>
    <w:rsid w:val="006B7B1B"/>
    <w:rsid w:val="006C0CE7"/>
    <w:rsid w:val="006C6386"/>
    <w:rsid w:val="006E35C4"/>
    <w:rsid w:val="006E3AD4"/>
    <w:rsid w:val="00705C55"/>
    <w:rsid w:val="0071234D"/>
    <w:rsid w:val="00721BF6"/>
    <w:rsid w:val="00731893"/>
    <w:rsid w:val="00751CB4"/>
    <w:rsid w:val="00753B14"/>
    <w:rsid w:val="00754F81"/>
    <w:rsid w:val="00756161"/>
    <w:rsid w:val="00760069"/>
    <w:rsid w:val="00762B8B"/>
    <w:rsid w:val="00763036"/>
    <w:rsid w:val="00766CAF"/>
    <w:rsid w:val="007725A6"/>
    <w:rsid w:val="00772D81"/>
    <w:rsid w:val="00796EB6"/>
    <w:rsid w:val="007C25C4"/>
    <w:rsid w:val="007E61DA"/>
    <w:rsid w:val="0080338B"/>
    <w:rsid w:val="008118A7"/>
    <w:rsid w:val="008154CF"/>
    <w:rsid w:val="00822259"/>
    <w:rsid w:val="0082493E"/>
    <w:rsid w:val="008314F9"/>
    <w:rsid w:val="008432D6"/>
    <w:rsid w:val="0085637D"/>
    <w:rsid w:val="00865C75"/>
    <w:rsid w:val="008745EF"/>
    <w:rsid w:val="0088323A"/>
    <w:rsid w:val="00887969"/>
    <w:rsid w:val="008A1D36"/>
    <w:rsid w:val="008B1941"/>
    <w:rsid w:val="008B32D9"/>
    <w:rsid w:val="008B75F6"/>
    <w:rsid w:val="008B783A"/>
    <w:rsid w:val="008C4849"/>
    <w:rsid w:val="008C52A0"/>
    <w:rsid w:val="008C71E3"/>
    <w:rsid w:val="008D0C11"/>
    <w:rsid w:val="008F0AB8"/>
    <w:rsid w:val="00903CEF"/>
    <w:rsid w:val="00934360"/>
    <w:rsid w:val="00943709"/>
    <w:rsid w:val="009451FF"/>
    <w:rsid w:val="00954E6C"/>
    <w:rsid w:val="0099098B"/>
    <w:rsid w:val="009950D0"/>
    <w:rsid w:val="009A6ABA"/>
    <w:rsid w:val="009B262A"/>
    <w:rsid w:val="009B27EC"/>
    <w:rsid w:val="009B7AA5"/>
    <w:rsid w:val="009C2020"/>
    <w:rsid w:val="009D3D23"/>
    <w:rsid w:val="009D674E"/>
    <w:rsid w:val="009E695B"/>
    <w:rsid w:val="009F2EDA"/>
    <w:rsid w:val="00A06FE1"/>
    <w:rsid w:val="00A07E63"/>
    <w:rsid w:val="00A30D60"/>
    <w:rsid w:val="00A351B4"/>
    <w:rsid w:val="00A51C5B"/>
    <w:rsid w:val="00A53A04"/>
    <w:rsid w:val="00A62269"/>
    <w:rsid w:val="00A71809"/>
    <w:rsid w:val="00A76323"/>
    <w:rsid w:val="00AA3E36"/>
    <w:rsid w:val="00AD0BC2"/>
    <w:rsid w:val="00AD1655"/>
    <w:rsid w:val="00B03197"/>
    <w:rsid w:val="00B03EEB"/>
    <w:rsid w:val="00B201CC"/>
    <w:rsid w:val="00B212F7"/>
    <w:rsid w:val="00B279A4"/>
    <w:rsid w:val="00B5771E"/>
    <w:rsid w:val="00B85230"/>
    <w:rsid w:val="00B85CA6"/>
    <w:rsid w:val="00BC7876"/>
    <w:rsid w:val="00BE1604"/>
    <w:rsid w:val="00BE6295"/>
    <w:rsid w:val="00BF4ABB"/>
    <w:rsid w:val="00C0025D"/>
    <w:rsid w:val="00C0160F"/>
    <w:rsid w:val="00C3138B"/>
    <w:rsid w:val="00C3362E"/>
    <w:rsid w:val="00C55119"/>
    <w:rsid w:val="00C551CE"/>
    <w:rsid w:val="00C75911"/>
    <w:rsid w:val="00C820A9"/>
    <w:rsid w:val="00CB1F6E"/>
    <w:rsid w:val="00CD3D5D"/>
    <w:rsid w:val="00CE0603"/>
    <w:rsid w:val="00CE183E"/>
    <w:rsid w:val="00CE498A"/>
    <w:rsid w:val="00D51A73"/>
    <w:rsid w:val="00D80C4A"/>
    <w:rsid w:val="00D85228"/>
    <w:rsid w:val="00DA4974"/>
    <w:rsid w:val="00DB0D16"/>
    <w:rsid w:val="00DB1B5C"/>
    <w:rsid w:val="00DB3CA0"/>
    <w:rsid w:val="00DB4C56"/>
    <w:rsid w:val="00DB5215"/>
    <w:rsid w:val="00DC4E3A"/>
    <w:rsid w:val="00DC5BCA"/>
    <w:rsid w:val="00E042C4"/>
    <w:rsid w:val="00E10D23"/>
    <w:rsid w:val="00E125FC"/>
    <w:rsid w:val="00E16CFB"/>
    <w:rsid w:val="00E172DC"/>
    <w:rsid w:val="00E21D2B"/>
    <w:rsid w:val="00E306DD"/>
    <w:rsid w:val="00E32070"/>
    <w:rsid w:val="00E33290"/>
    <w:rsid w:val="00E33851"/>
    <w:rsid w:val="00E358AB"/>
    <w:rsid w:val="00E57A6E"/>
    <w:rsid w:val="00E71246"/>
    <w:rsid w:val="00E9188F"/>
    <w:rsid w:val="00EE48AA"/>
    <w:rsid w:val="00EF29BF"/>
    <w:rsid w:val="00F139A5"/>
    <w:rsid w:val="00F61906"/>
    <w:rsid w:val="00F67305"/>
    <w:rsid w:val="00F86CC4"/>
    <w:rsid w:val="00FA125A"/>
    <w:rsid w:val="00FA472F"/>
    <w:rsid w:val="00FA67E7"/>
    <w:rsid w:val="00FA7C05"/>
    <w:rsid w:val="00FB20C2"/>
    <w:rsid w:val="00FB4AFE"/>
    <w:rsid w:val="00FC2F18"/>
    <w:rsid w:val="00FC69AD"/>
    <w:rsid w:val="00FD4764"/>
    <w:rsid w:val="00FD5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3212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0C2"/>
  </w:style>
  <w:style w:type="paragraph" w:styleId="Ttulo2">
    <w:name w:val="heading 2"/>
    <w:basedOn w:val="Normal"/>
    <w:link w:val="Ttulo2Car"/>
    <w:uiPriority w:val="9"/>
    <w:qFormat/>
    <w:rsid w:val="00C75911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E95200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745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745EF"/>
  </w:style>
  <w:style w:type="paragraph" w:styleId="Piedepgina">
    <w:name w:val="footer"/>
    <w:basedOn w:val="Normal"/>
    <w:link w:val="PiedepginaCar"/>
    <w:uiPriority w:val="99"/>
    <w:semiHidden/>
    <w:unhideWhenUsed/>
    <w:rsid w:val="008745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745EF"/>
  </w:style>
  <w:style w:type="paragraph" w:styleId="Sinespaciado">
    <w:name w:val="No Spacing"/>
    <w:uiPriority w:val="1"/>
    <w:qFormat/>
    <w:rsid w:val="00753B14"/>
    <w:pPr>
      <w:spacing w:after="0" w:line="240" w:lineRule="auto"/>
    </w:pPr>
  </w:style>
  <w:style w:type="paragraph" w:customStyle="1" w:styleId="Default">
    <w:name w:val="Default"/>
    <w:link w:val="DefaultChar"/>
    <w:rsid w:val="00753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basedOn w:val="Fuentedeprrafopredeter"/>
    <w:link w:val="Default"/>
    <w:locked/>
    <w:rsid w:val="00753B14"/>
    <w:rPr>
      <w:rFonts w:ascii="Times New Roman" w:hAnsi="Times New Roman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4D2551"/>
    <w:pPr>
      <w:spacing w:after="0" w:line="240" w:lineRule="auto"/>
    </w:pPr>
    <w:rPr>
      <w:rFonts w:ascii="Times New Roman" w:eastAsia="Times New Roman" w:hAnsi="Times New Roman" w:cs="Times New Roman"/>
      <w:bCs/>
      <w:i/>
      <w:iCs/>
      <w:sz w:val="24"/>
      <w:szCs w:val="24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4D2551"/>
    <w:rPr>
      <w:rFonts w:ascii="Times New Roman" w:eastAsia="Times New Roman" w:hAnsi="Times New Roman" w:cs="Times New Roman"/>
      <w:bCs/>
      <w:i/>
      <w:iCs/>
      <w:sz w:val="24"/>
      <w:szCs w:val="24"/>
      <w:lang w:val="en-GB"/>
    </w:rPr>
  </w:style>
  <w:style w:type="paragraph" w:styleId="Listaconvietas">
    <w:name w:val="List Bullet"/>
    <w:aliases w:val="List Bullet Char1,List Bullet Char Char,List Bullet Char3,List Bullet Char2 Char1,List Bullet Char Char1 Char1,List Bullet Char Char3,List Bullet Char,List Bullet Char2,List Bullet Char Char1 Char Char"/>
    <w:basedOn w:val="Textoindependiente"/>
    <w:rsid w:val="004D2551"/>
    <w:pPr>
      <w:tabs>
        <w:tab w:val="num" w:pos="360"/>
      </w:tabs>
      <w:spacing w:before="60" w:after="60"/>
      <w:ind w:left="360" w:hanging="360"/>
    </w:pPr>
    <w:rPr>
      <w:rFonts w:ascii="Arial" w:hAnsi="Arial" w:cs="Arial"/>
      <w:bCs w:val="0"/>
      <w:i w:val="0"/>
      <w:iCs w:val="0"/>
      <w:sz w:val="22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B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21D2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20AF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75911"/>
    <w:rPr>
      <w:rFonts w:ascii="Times New Roman" w:eastAsia="Times New Roman" w:hAnsi="Times New Roman" w:cs="Times New Roman"/>
      <w:b/>
      <w:bCs/>
      <w:color w:val="E95200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C75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C75911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9098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9098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9098B"/>
    <w:rPr>
      <w:vertAlign w:val="superscript"/>
    </w:rPr>
  </w:style>
  <w:style w:type="paragraph" w:customStyle="1" w:styleId="Sinespaciado1">
    <w:name w:val="Sin espaciado1"/>
    <w:qFormat/>
    <w:rsid w:val="00E9188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1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hchr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acnud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C3A8F-32E1-45F6-B4D4-623ABD19F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1017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OACNUD</dc:creator>
  <cp:lastModifiedBy>Jross</cp:lastModifiedBy>
  <cp:revision>3</cp:revision>
  <cp:lastPrinted>2012-03-22T15:02:00Z</cp:lastPrinted>
  <dcterms:created xsi:type="dcterms:W3CDTF">2012-04-12T14:50:00Z</dcterms:created>
  <dcterms:modified xsi:type="dcterms:W3CDTF">2012-04-12T14:52:00Z</dcterms:modified>
</cp:coreProperties>
</file>